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067C8C">
      <w:pPr>
        <w:jc w:val="center"/>
        <w:rPr>
          <w:rFonts w:hint="eastAsia" w:ascii="方正小标宋_GBK" w:hAnsi="方正小标宋_GBK" w:eastAsia="方正小标宋_GBK" w:cs="方正小标宋_GBK"/>
          <w:sz w:val="36"/>
          <w:szCs w:val="36"/>
        </w:rPr>
      </w:pPr>
    </w:p>
    <w:p w14:paraId="2D8E28C2">
      <w:pPr>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《淮安市历史文化名城保护条例（草案送审稿）》</w:t>
      </w:r>
    </w:p>
    <w:p w14:paraId="3E73BE37">
      <w:pPr>
        <w:jc w:val="both"/>
        <w:rPr>
          <w:rFonts w:ascii="方正小标宋_GBK" w:hAnsi="方正小标宋_GBK" w:eastAsia="方正小标宋_GBK" w:cs="方正小标宋_GBK"/>
          <w:sz w:val="36"/>
          <w:szCs w:val="36"/>
        </w:rPr>
      </w:pPr>
    </w:p>
    <w:p w14:paraId="7BE1C718">
      <w:pPr>
        <w:widowControl/>
        <w:snapToGrid w:val="0"/>
        <w:spacing w:line="540" w:lineRule="exact"/>
        <w:jc w:val="center"/>
        <w:rPr>
          <w:rFonts w:ascii="方正楷体_GBK" w:eastAsia="方正楷体_GBK" w:cs="宋体"/>
          <w:smallCaps/>
          <w:kern w:val="0"/>
          <w:sz w:val="32"/>
          <w:szCs w:val="32"/>
        </w:rPr>
      </w:pPr>
      <w:r>
        <w:rPr>
          <w:rFonts w:hint="eastAsia" w:ascii="方正楷体_GBK" w:eastAsia="方正楷体_GBK" w:cs="宋体"/>
          <w:smallCaps/>
          <w:kern w:val="0"/>
          <w:sz w:val="32"/>
          <w:szCs w:val="32"/>
        </w:rPr>
        <w:t>目  录</w:t>
      </w:r>
    </w:p>
    <w:p w14:paraId="36FF9658">
      <w:pPr>
        <w:widowControl/>
        <w:snapToGrid w:val="0"/>
        <w:spacing w:line="540" w:lineRule="exact"/>
        <w:jc w:val="left"/>
        <w:rPr>
          <w:rFonts w:ascii="方正楷体_GBK" w:eastAsia="方正楷体_GBK" w:cs="宋体"/>
          <w:smallCaps/>
          <w:kern w:val="0"/>
          <w:sz w:val="32"/>
          <w:szCs w:val="32"/>
        </w:rPr>
      </w:pPr>
    </w:p>
    <w:p w14:paraId="38F26D2D">
      <w:pPr>
        <w:widowControl/>
        <w:snapToGrid w:val="0"/>
        <w:spacing w:line="540" w:lineRule="exact"/>
        <w:ind w:firstLine="420"/>
        <w:jc w:val="left"/>
        <w:rPr>
          <w:rFonts w:ascii="方正楷体_GBK" w:eastAsia="方正楷体_GBK" w:cs="宋体"/>
          <w:smallCaps/>
          <w:kern w:val="0"/>
          <w:sz w:val="32"/>
          <w:szCs w:val="32"/>
        </w:rPr>
      </w:pPr>
      <w:r>
        <w:rPr>
          <w:rFonts w:hint="eastAsia" w:ascii="方正楷体_GBK" w:eastAsia="方正楷体_GBK" w:cs="宋体"/>
          <w:smallCaps/>
          <w:kern w:val="0"/>
          <w:sz w:val="32"/>
          <w:szCs w:val="32"/>
        </w:rPr>
        <w:t>第一章  总则</w:t>
      </w:r>
    </w:p>
    <w:p w14:paraId="3A639489">
      <w:pPr>
        <w:widowControl/>
        <w:snapToGrid w:val="0"/>
        <w:spacing w:line="540" w:lineRule="exact"/>
        <w:ind w:firstLine="420"/>
        <w:jc w:val="left"/>
        <w:rPr>
          <w:rFonts w:hint="eastAsia" w:ascii="方正楷体_GBK" w:eastAsia="方正楷体_GBK" w:cs="宋体"/>
          <w:smallCaps/>
          <w:kern w:val="0"/>
          <w:sz w:val="32"/>
          <w:szCs w:val="32"/>
          <w:lang w:eastAsia="zh-CN"/>
        </w:rPr>
      </w:pPr>
      <w:r>
        <w:rPr>
          <w:rFonts w:hint="eastAsia" w:ascii="方正楷体_GBK" w:eastAsia="方正楷体_GBK" w:cs="宋体"/>
          <w:smallCaps/>
          <w:kern w:val="0"/>
          <w:sz w:val="32"/>
          <w:szCs w:val="32"/>
        </w:rPr>
        <w:t>第二章  保护规划</w:t>
      </w:r>
      <w:r>
        <w:rPr>
          <w:rFonts w:hint="eastAsia" w:ascii="方正楷体_GBK" w:eastAsia="方正楷体_GBK" w:cs="宋体"/>
          <w:smallCaps/>
          <w:kern w:val="0"/>
          <w:sz w:val="32"/>
          <w:szCs w:val="32"/>
          <w:lang w:eastAsia="zh-CN"/>
        </w:rPr>
        <w:t>与</w:t>
      </w:r>
      <w:bookmarkStart w:id="18" w:name="_GoBack"/>
      <w:bookmarkEnd w:id="18"/>
      <w:r>
        <w:rPr>
          <w:rFonts w:hint="eastAsia" w:ascii="方正楷体_GBK" w:eastAsia="方正楷体_GBK" w:cs="宋体"/>
          <w:smallCaps/>
          <w:kern w:val="0"/>
          <w:sz w:val="32"/>
          <w:szCs w:val="32"/>
          <w:lang w:eastAsia="zh-CN"/>
        </w:rPr>
        <w:t>保护名录</w:t>
      </w:r>
    </w:p>
    <w:p w14:paraId="0C811398">
      <w:pPr>
        <w:widowControl/>
        <w:snapToGrid w:val="0"/>
        <w:spacing w:line="540" w:lineRule="exact"/>
        <w:ind w:firstLine="420"/>
        <w:jc w:val="left"/>
        <w:rPr>
          <w:rFonts w:ascii="方正楷体_GBK" w:eastAsia="方正楷体_GBK" w:cs="宋体"/>
          <w:smallCaps/>
          <w:kern w:val="0"/>
          <w:sz w:val="32"/>
          <w:szCs w:val="32"/>
        </w:rPr>
      </w:pPr>
      <w:r>
        <w:rPr>
          <w:rFonts w:hint="eastAsia" w:ascii="方正楷体_GBK" w:eastAsia="方正楷体_GBK" w:cs="宋体"/>
          <w:smallCaps/>
          <w:kern w:val="0"/>
          <w:sz w:val="32"/>
          <w:szCs w:val="32"/>
        </w:rPr>
        <w:t>第三章  保护措施</w:t>
      </w:r>
    </w:p>
    <w:p w14:paraId="02505E02">
      <w:pPr>
        <w:widowControl/>
        <w:snapToGrid w:val="0"/>
        <w:spacing w:line="540" w:lineRule="exact"/>
        <w:ind w:firstLine="420"/>
        <w:jc w:val="left"/>
        <w:rPr>
          <w:rFonts w:ascii="方正楷体_GBK" w:eastAsia="方正楷体_GBK" w:cs="宋体"/>
          <w:smallCaps/>
          <w:kern w:val="0"/>
          <w:sz w:val="32"/>
          <w:szCs w:val="32"/>
        </w:rPr>
      </w:pPr>
      <w:r>
        <w:rPr>
          <w:rFonts w:hint="eastAsia" w:ascii="方正楷体_GBK" w:eastAsia="方正楷体_GBK" w:cs="宋体"/>
          <w:smallCaps/>
          <w:kern w:val="0"/>
          <w:sz w:val="32"/>
          <w:szCs w:val="32"/>
        </w:rPr>
        <w:t>第四章  传承利用</w:t>
      </w:r>
    </w:p>
    <w:p w14:paraId="2EAA3F6E">
      <w:pPr>
        <w:widowControl/>
        <w:snapToGrid w:val="0"/>
        <w:spacing w:line="540" w:lineRule="exact"/>
        <w:ind w:firstLine="420"/>
        <w:jc w:val="left"/>
        <w:rPr>
          <w:rFonts w:ascii="方正楷体_GBK" w:eastAsia="方正楷体_GBK" w:cs="宋体"/>
          <w:smallCaps/>
          <w:kern w:val="0"/>
          <w:sz w:val="32"/>
          <w:szCs w:val="32"/>
        </w:rPr>
      </w:pPr>
      <w:r>
        <w:rPr>
          <w:rFonts w:hint="eastAsia" w:ascii="方正楷体_GBK" w:eastAsia="方正楷体_GBK" w:cs="宋体"/>
          <w:smallCaps/>
          <w:kern w:val="0"/>
          <w:sz w:val="32"/>
          <w:szCs w:val="32"/>
        </w:rPr>
        <w:t>第五章  监督检查</w:t>
      </w:r>
    </w:p>
    <w:p w14:paraId="2B74AEC7">
      <w:pPr>
        <w:widowControl/>
        <w:snapToGrid w:val="0"/>
        <w:spacing w:line="540" w:lineRule="exact"/>
        <w:ind w:firstLine="420"/>
        <w:jc w:val="left"/>
        <w:rPr>
          <w:rFonts w:ascii="方正楷体_GBK" w:eastAsia="方正楷体_GBK" w:cs="宋体"/>
          <w:smallCaps/>
          <w:kern w:val="0"/>
          <w:sz w:val="32"/>
          <w:szCs w:val="32"/>
        </w:rPr>
      </w:pPr>
      <w:r>
        <w:rPr>
          <w:rFonts w:hint="eastAsia" w:ascii="方正楷体_GBK" w:eastAsia="方正楷体_GBK" w:cs="宋体"/>
          <w:smallCaps/>
          <w:kern w:val="0"/>
          <w:sz w:val="32"/>
          <w:szCs w:val="32"/>
        </w:rPr>
        <w:t>第六章  法律责任</w:t>
      </w:r>
    </w:p>
    <w:p w14:paraId="12272946">
      <w:pPr>
        <w:widowControl/>
        <w:snapToGrid w:val="0"/>
        <w:spacing w:line="540" w:lineRule="exact"/>
        <w:ind w:firstLine="420"/>
        <w:jc w:val="left"/>
        <w:rPr>
          <w:rFonts w:ascii="方正楷体_GBK" w:eastAsia="方正楷体_GBK" w:cs="宋体"/>
          <w:smallCaps/>
          <w:kern w:val="0"/>
          <w:sz w:val="32"/>
          <w:szCs w:val="32"/>
        </w:rPr>
      </w:pPr>
      <w:r>
        <w:rPr>
          <w:rFonts w:hint="eastAsia" w:ascii="方正楷体_GBK" w:eastAsia="方正楷体_GBK" w:cs="宋体"/>
          <w:smallCaps/>
          <w:kern w:val="0"/>
          <w:sz w:val="32"/>
          <w:szCs w:val="32"/>
        </w:rPr>
        <w:t>第七章  附则</w:t>
      </w:r>
    </w:p>
    <w:p w14:paraId="36130F5A">
      <w:pPr>
        <w:widowControl/>
        <w:snapToGrid w:val="0"/>
        <w:spacing w:line="560" w:lineRule="exact"/>
        <w:jc w:val="center"/>
        <w:rPr>
          <w:rFonts w:hint="eastAsia" w:ascii="方正黑体_GBK" w:eastAsia="方正黑体_GBK" w:cs="宋体"/>
          <w:smallCaps/>
          <w:kern w:val="0"/>
          <w:sz w:val="32"/>
          <w:szCs w:val="32"/>
        </w:rPr>
      </w:pPr>
    </w:p>
    <w:p w14:paraId="6BAF4ADF">
      <w:pPr>
        <w:widowControl/>
        <w:snapToGrid w:val="0"/>
        <w:spacing w:line="560" w:lineRule="exact"/>
        <w:jc w:val="center"/>
        <w:rPr>
          <w:rFonts w:ascii="方正黑体_GBK" w:eastAsia="方正黑体_GBK" w:cs="宋体"/>
          <w:smallCaps/>
          <w:kern w:val="0"/>
          <w:sz w:val="32"/>
          <w:szCs w:val="32"/>
        </w:rPr>
      </w:pPr>
      <w:r>
        <w:rPr>
          <w:rFonts w:hint="eastAsia" w:ascii="方正黑体_GBK" w:eastAsia="方正黑体_GBK" w:cs="宋体"/>
          <w:smallCaps/>
          <w:kern w:val="0"/>
          <w:sz w:val="32"/>
          <w:szCs w:val="32"/>
        </w:rPr>
        <w:t>第一章  总  则</w:t>
      </w:r>
    </w:p>
    <w:p w14:paraId="7D6B7981">
      <w:pPr>
        <w:widowControl/>
        <w:snapToGrid w:val="0"/>
        <w:spacing w:line="560" w:lineRule="exact"/>
        <w:ind w:firstLine="420"/>
        <w:jc w:val="left"/>
        <w:rPr>
          <w:rFonts w:ascii="方正黑体_GBK" w:eastAsia="方正黑体_GBK" w:cs="宋体"/>
          <w:smallCaps/>
          <w:kern w:val="0"/>
          <w:sz w:val="32"/>
          <w:szCs w:val="32"/>
        </w:rPr>
      </w:pPr>
    </w:p>
    <w:p w14:paraId="6B1F3949">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黑体_GBK" w:eastAsia="方正黑体_GBK" w:cs="宋体"/>
          <w:smallCaps/>
          <w:kern w:val="0"/>
          <w:sz w:val="32"/>
          <w:szCs w:val="32"/>
        </w:rPr>
        <w:t>第一条【立法目的】</w:t>
      </w:r>
      <w:r>
        <w:rPr>
          <w:rFonts w:hint="eastAsia" w:ascii="方正仿宋_GBK" w:hAnsi="方正仿宋_GBK" w:eastAsia="方正仿宋_GBK" w:cs="方正仿宋_GBK"/>
          <w:smallCaps/>
          <w:kern w:val="0"/>
          <w:sz w:val="32"/>
          <w:szCs w:val="32"/>
        </w:rPr>
        <w:t>为加强淮安市历史文化名城的保护，继承和弘扬优秀传统历史文化，促进社会主义物质文明和精神文明协调发展，根据《中华人民共和国文物保护法》</w:t>
      </w:r>
      <w:r>
        <w:rPr>
          <w:rFonts w:hint="eastAsia" w:ascii="方正仿宋_GBK" w:hAnsi="方正仿宋_GBK" w:eastAsia="方正仿宋_GBK" w:cs="方正仿宋_GBK"/>
          <w:smallCaps/>
          <w:kern w:val="0"/>
          <w:sz w:val="32"/>
          <w:szCs w:val="32"/>
          <w:lang w:eastAsia="zh-CN"/>
        </w:rPr>
        <w:t>、</w:t>
      </w:r>
      <w:r>
        <w:rPr>
          <w:rFonts w:hint="eastAsia" w:ascii="方正仿宋_GBK" w:hAnsi="方正仿宋_GBK" w:eastAsia="方正仿宋_GBK" w:cs="方正仿宋_GBK"/>
          <w:smallCaps/>
          <w:kern w:val="0"/>
          <w:sz w:val="32"/>
          <w:szCs w:val="32"/>
        </w:rPr>
        <w:t>《中华人民共和国非物质文化遗产法》</w:t>
      </w:r>
      <w:r>
        <w:rPr>
          <w:rFonts w:hint="eastAsia" w:ascii="方正仿宋_GBK" w:hAnsi="方正仿宋_GBK" w:eastAsia="方正仿宋_GBK" w:cs="方正仿宋_GBK"/>
          <w:smallCaps/>
          <w:kern w:val="0"/>
          <w:sz w:val="32"/>
          <w:szCs w:val="32"/>
          <w:lang w:eastAsia="zh-CN"/>
        </w:rPr>
        <w:t>、</w:t>
      </w:r>
      <w:r>
        <w:rPr>
          <w:rFonts w:hint="eastAsia" w:ascii="方正仿宋_GBK" w:hAnsi="方正仿宋_GBK" w:eastAsia="方正仿宋_GBK" w:cs="方正仿宋_GBK"/>
          <w:smallCaps/>
          <w:kern w:val="0"/>
          <w:sz w:val="32"/>
          <w:szCs w:val="32"/>
        </w:rPr>
        <w:t>《中华人民共和国城乡规划法》</w:t>
      </w:r>
      <w:r>
        <w:rPr>
          <w:rFonts w:hint="eastAsia" w:ascii="方正仿宋_GBK" w:hAnsi="方正仿宋_GBK" w:eastAsia="方正仿宋_GBK" w:cs="方正仿宋_GBK"/>
          <w:smallCaps/>
          <w:kern w:val="0"/>
          <w:sz w:val="32"/>
          <w:szCs w:val="32"/>
          <w:lang w:eastAsia="zh-CN"/>
        </w:rPr>
        <w:t>、</w:t>
      </w:r>
      <w:r>
        <w:rPr>
          <w:rFonts w:hint="eastAsia" w:ascii="方正仿宋_GBK" w:hAnsi="方正仿宋_GBK" w:eastAsia="方正仿宋_GBK" w:cs="方正仿宋_GBK"/>
          <w:smallCaps/>
          <w:kern w:val="0"/>
          <w:sz w:val="32"/>
          <w:szCs w:val="32"/>
        </w:rPr>
        <w:t>《历史文化名城名镇名村保护条例》</w:t>
      </w:r>
      <w:r>
        <w:rPr>
          <w:rFonts w:hint="eastAsia" w:ascii="方正仿宋_GBK" w:hAnsi="方正仿宋_GBK" w:eastAsia="方正仿宋_GBK" w:cs="方正仿宋_GBK"/>
          <w:smallCaps/>
          <w:kern w:val="0"/>
          <w:sz w:val="32"/>
          <w:szCs w:val="32"/>
          <w:lang w:eastAsia="zh-CN"/>
        </w:rPr>
        <w:t>、</w:t>
      </w:r>
      <w:r>
        <w:rPr>
          <w:rFonts w:hint="eastAsia" w:ascii="方正仿宋_GBK" w:hAnsi="方正仿宋_GBK" w:eastAsia="方正仿宋_GBK" w:cs="方正仿宋_GBK"/>
          <w:smallCaps/>
          <w:kern w:val="0"/>
          <w:sz w:val="32"/>
          <w:szCs w:val="32"/>
        </w:rPr>
        <w:t>《江苏省历史文化名城名镇保护条例》等法律</w:t>
      </w:r>
      <w:r>
        <w:rPr>
          <w:rFonts w:hint="eastAsia" w:ascii="方正仿宋_GBK" w:hAnsi="方正仿宋_GBK" w:eastAsia="方正仿宋_GBK" w:cs="方正仿宋_GBK"/>
          <w:smallCaps/>
          <w:kern w:val="0"/>
          <w:sz w:val="32"/>
          <w:szCs w:val="32"/>
          <w:lang w:eastAsia="zh-CN"/>
        </w:rPr>
        <w:t>、</w:t>
      </w:r>
      <w:r>
        <w:rPr>
          <w:rFonts w:hint="eastAsia" w:ascii="方正仿宋_GBK" w:hAnsi="方正仿宋_GBK" w:eastAsia="方正仿宋_GBK" w:cs="方正仿宋_GBK"/>
          <w:smallCaps/>
          <w:kern w:val="0"/>
          <w:sz w:val="32"/>
          <w:szCs w:val="32"/>
        </w:rPr>
        <w:t>法规，结合本市实际，制定本条例。</w:t>
      </w:r>
    </w:p>
    <w:p w14:paraId="4E845EB9">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第二条</w:t>
      </w:r>
      <w:r>
        <w:rPr>
          <w:rFonts w:hint="eastAsia" w:ascii="方正黑体_GBK" w:eastAsia="方正黑体_GBK" w:cs="宋体"/>
          <w:smallCaps/>
          <w:kern w:val="0"/>
          <w:sz w:val="32"/>
          <w:szCs w:val="32"/>
        </w:rPr>
        <w:t>【条例适用】</w:t>
      </w:r>
      <w:r>
        <w:rPr>
          <w:rFonts w:hint="eastAsia" w:ascii="方正仿宋_GBK" w:hAnsi="方正仿宋_GBK" w:eastAsia="方正仿宋_GBK" w:cs="方正仿宋_GBK"/>
          <w:smallCaps/>
          <w:kern w:val="0"/>
          <w:sz w:val="32"/>
          <w:szCs w:val="32"/>
        </w:rPr>
        <w:t>淮安市历史文化名城规划、管理、保护、传承利用等活动，适用本条例。</w:t>
      </w:r>
    </w:p>
    <w:p w14:paraId="6BCBF4A5">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第三条</w:t>
      </w:r>
      <w:r>
        <w:rPr>
          <w:rFonts w:hint="eastAsia" w:ascii="方正黑体_GBK" w:eastAsia="方正黑体_GBK" w:cs="宋体"/>
          <w:smallCaps/>
          <w:kern w:val="0"/>
          <w:sz w:val="32"/>
          <w:szCs w:val="32"/>
        </w:rPr>
        <w:t>【基本原则】</w:t>
      </w:r>
      <w:r>
        <w:rPr>
          <w:rFonts w:hint="eastAsia" w:ascii="方正仿宋_GBK" w:hAnsi="方正仿宋_GBK" w:eastAsia="方正仿宋_GBK" w:cs="方正仿宋_GBK"/>
          <w:smallCaps/>
          <w:kern w:val="0"/>
          <w:sz w:val="32"/>
          <w:szCs w:val="32"/>
        </w:rPr>
        <w:t>历史文化名城保护应当遵循政府主导、科学规划、严格保护、分类管理、合理利用的原则。</w:t>
      </w:r>
    </w:p>
    <w:p w14:paraId="021CE183">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第四条</w:t>
      </w:r>
      <w:r>
        <w:rPr>
          <w:rFonts w:hint="eastAsia" w:ascii="方正黑体_GBK" w:eastAsia="方正黑体_GBK" w:cs="宋体"/>
          <w:smallCaps/>
          <w:kern w:val="0"/>
          <w:sz w:val="32"/>
          <w:szCs w:val="32"/>
        </w:rPr>
        <w:t>【管理职责】</w:t>
      </w:r>
      <w:bookmarkStart w:id="0" w:name="OLE_LINK21"/>
      <w:bookmarkStart w:id="1" w:name="OLE_LINK20"/>
      <w:r>
        <w:rPr>
          <w:rFonts w:hint="eastAsia" w:ascii="方正仿宋_GBK" w:hAnsi="方正仿宋_GBK" w:eastAsia="方正仿宋_GBK" w:cs="方正仿宋_GBK"/>
          <w:smallCaps/>
          <w:kern w:val="0"/>
          <w:sz w:val="32"/>
          <w:szCs w:val="32"/>
        </w:rPr>
        <w:t>市住房和城乡建设主管部门为历史文化名城保护的主管部门，负责本市行政区域内历史文化名城保护、监督管理工作。</w:t>
      </w:r>
    </w:p>
    <w:p w14:paraId="41E35E0D">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市文化和旅游（文物）主管部门负责组织编制和实施历史文化名城保护范围内文物保护规划；会同自然资源和规划主管部门划定文物保护单位保护范围和建设控制地带，并按照规定程序报批等相关事项。</w:t>
      </w:r>
    </w:p>
    <w:p w14:paraId="35536E35">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市自然资源和规划主管部门负责本市历史文化名城保护规划的编制和相关规划管理工作。</w:t>
      </w:r>
    </w:p>
    <w:p w14:paraId="0875CE90">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发展和改革、教育、民族宗教、公安、民政、财政、生态环境、水利、农业农村、市场监督管理、城市管理、应急管理、交通运输等部门和消防救援机构应当按照各自的职责和本条例有关规定，共同做好历史文化名城保护工作。</w:t>
      </w:r>
    </w:p>
    <w:p w14:paraId="56E15659">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县（区）人民政府负责本辖区内历史文化名城保护管理工作。</w:t>
      </w:r>
    </w:p>
    <w:p w14:paraId="773CC98E">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镇人民政府（街道办事处）加强对本辖区的历史文化名城保护情况的巡查，引导动员公众参与历史文化名城保护工作。</w:t>
      </w:r>
    </w:p>
    <w:bookmarkEnd w:id="0"/>
    <w:bookmarkEnd w:id="1"/>
    <w:p w14:paraId="56E901A6">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第五条</w:t>
      </w:r>
      <w:r>
        <w:rPr>
          <w:rFonts w:hint="eastAsia" w:ascii="方正黑体_GBK" w:eastAsia="方正黑体_GBK" w:cs="宋体"/>
          <w:smallCaps/>
          <w:kern w:val="0"/>
          <w:sz w:val="32"/>
          <w:szCs w:val="32"/>
        </w:rPr>
        <w:t>【专家咨询】</w:t>
      </w:r>
      <w:r>
        <w:rPr>
          <w:rFonts w:hint="eastAsia" w:ascii="方正仿宋_GBK" w:hAnsi="方正仿宋_GBK" w:eastAsia="方正仿宋_GBK" w:cs="方正仿宋_GBK"/>
          <w:smallCaps/>
          <w:kern w:val="0"/>
          <w:sz w:val="32"/>
          <w:szCs w:val="32"/>
        </w:rPr>
        <w:t>市人民政府应当设立历史文化名城保护专家咨询委员会，负责对历史文化名城保护重大事项、重大政策措施等进行论证或者评审，并提供咨询意见。</w:t>
      </w:r>
    </w:p>
    <w:p w14:paraId="3D3426AE">
      <w:pPr>
        <w:widowControl/>
        <w:snapToGrid w:val="0"/>
        <w:spacing w:line="560" w:lineRule="exact"/>
        <w:ind w:firstLine="640" w:firstLineChars="200"/>
        <w:jc w:val="left"/>
        <w:rPr>
          <w:rFonts w:ascii="方正黑体_GBK" w:eastAsia="方正黑体_GBK" w:cs="宋体"/>
          <w:smallCaps/>
          <w:kern w:val="0"/>
          <w:sz w:val="32"/>
          <w:szCs w:val="32"/>
        </w:rPr>
      </w:pPr>
      <w:r>
        <w:rPr>
          <w:rFonts w:hint="eastAsia" w:ascii="方正仿宋_GBK" w:hAnsi="方正仿宋_GBK" w:eastAsia="方正仿宋_GBK" w:cs="方正仿宋_GBK"/>
          <w:smallCaps/>
          <w:kern w:val="0"/>
          <w:sz w:val="32"/>
          <w:szCs w:val="32"/>
        </w:rPr>
        <w:t>编制历史文化名城保护的各项规划、风貌导则、保护名录、建设管理以及改造利用等重大事项，应当听取历史文化名城保护专家咨询委员会意见。</w:t>
      </w:r>
    </w:p>
    <w:p w14:paraId="339EB379">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第六条</w:t>
      </w:r>
      <w:r>
        <w:rPr>
          <w:rFonts w:hint="eastAsia" w:ascii="方正黑体_GBK" w:eastAsia="方正黑体_GBK" w:cs="宋体"/>
          <w:smallCaps/>
          <w:kern w:val="0"/>
          <w:sz w:val="32"/>
          <w:szCs w:val="32"/>
        </w:rPr>
        <w:t>【协作机制】</w:t>
      </w:r>
      <w:r>
        <w:rPr>
          <w:rFonts w:hint="eastAsia" w:ascii="方正仿宋_GBK" w:hAnsi="方正仿宋_GBK" w:eastAsia="方正仿宋_GBK" w:cs="方正仿宋_GBK"/>
          <w:smallCaps/>
          <w:kern w:val="0"/>
          <w:sz w:val="32"/>
          <w:szCs w:val="32"/>
        </w:rPr>
        <w:t>本市应加强跨区域、跨部门协作，推动历史文化名城保护与城市更新、乡村振兴、生态修复、旅游开发、社区治理有机结合，促进文旅融合发展，实现社会效益、文化效益与经济效益协调统一。</w:t>
      </w:r>
    </w:p>
    <w:p w14:paraId="32F0748F">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第七条</w:t>
      </w:r>
      <w:r>
        <w:rPr>
          <w:rFonts w:hint="eastAsia" w:ascii="方正黑体_GBK" w:eastAsia="方正黑体_GBK" w:cs="宋体"/>
          <w:smallCaps/>
          <w:kern w:val="0"/>
          <w:sz w:val="32"/>
          <w:szCs w:val="32"/>
        </w:rPr>
        <w:t>【组织领导】</w:t>
      </w:r>
      <w:bookmarkStart w:id="2" w:name="OLE_LINK22"/>
      <w:bookmarkStart w:id="3" w:name="OLE_LINK23"/>
      <w:r>
        <w:rPr>
          <w:rFonts w:hint="eastAsia" w:ascii="方正仿宋_GBK" w:hAnsi="方正仿宋_GBK" w:eastAsia="方正仿宋_GBK" w:cs="方正仿宋_GBK"/>
          <w:smallCaps/>
          <w:kern w:val="0"/>
          <w:sz w:val="32"/>
          <w:szCs w:val="32"/>
        </w:rPr>
        <w:t>市、县（区）</w:t>
      </w:r>
      <w:bookmarkEnd w:id="2"/>
      <w:bookmarkEnd w:id="3"/>
      <w:r>
        <w:rPr>
          <w:rFonts w:hint="eastAsia" w:ascii="方正仿宋_GBK" w:hAnsi="方正仿宋_GBK" w:eastAsia="方正仿宋_GBK" w:cs="方正仿宋_GBK"/>
          <w:smallCaps/>
          <w:kern w:val="0"/>
          <w:sz w:val="32"/>
          <w:szCs w:val="32"/>
        </w:rPr>
        <w:t>人民政府应当加强对历史文化名城保护工作的领导，将历史文化名城保护工作纳入国民经济和社会发展规划，并将保护、管理和编制规划的经费列入财政预算。</w:t>
      </w:r>
    </w:p>
    <w:p w14:paraId="139BDEF1">
      <w:pPr>
        <w:widowControl/>
        <w:snapToGrid w:val="0"/>
        <w:spacing w:line="560" w:lineRule="exact"/>
        <w:ind w:firstLine="640" w:firstLineChars="200"/>
        <w:jc w:val="left"/>
        <w:rPr>
          <w:rFonts w:hint="eastAsia"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第八条</w:t>
      </w:r>
      <w:r>
        <w:rPr>
          <w:rFonts w:hint="eastAsia" w:ascii="方正黑体_GBK" w:eastAsia="方正黑体_GBK" w:cs="宋体"/>
          <w:smallCaps/>
          <w:kern w:val="0"/>
          <w:sz w:val="32"/>
          <w:szCs w:val="32"/>
        </w:rPr>
        <w:t>【公众参与】</w:t>
      </w:r>
      <w:r>
        <w:rPr>
          <w:rFonts w:hint="eastAsia" w:ascii="方正仿宋_GBK" w:hAnsi="方正仿宋_GBK" w:eastAsia="方正仿宋_GBK" w:cs="方正仿宋_GBK"/>
          <w:smallCaps/>
          <w:kern w:val="0"/>
          <w:sz w:val="32"/>
          <w:szCs w:val="32"/>
        </w:rPr>
        <w:t>鼓励自然人、法人和非法人组织，以捐赠、资助、投资、设立公益性基金等方式提供资金支持，也可以通过开展志愿服务、提出意见建议等方式，参与历史文化名城的保护。</w:t>
      </w:r>
    </w:p>
    <w:p w14:paraId="21F263CD">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鼓励金融机构将更多资源配置到历史文化名城保护的重点领域和薄弱环节，并可在业务范围内为保护提供信贷支持和其他金融服务。</w:t>
      </w:r>
    </w:p>
    <w:p w14:paraId="5147A633">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第九条</w:t>
      </w:r>
      <w:r>
        <w:rPr>
          <w:rFonts w:hint="eastAsia" w:ascii="方正黑体_GBK" w:eastAsia="方正黑体_GBK" w:cs="宋体"/>
          <w:smallCaps/>
          <w:kern w:val="0"/>
          <w:sz w:val="32"/>
          <w:szCs w:val="32"/>
        </w:rPr>
        <w:t>【检举与奖励】</w:t>
      </w:r>
      <w:r>
        <w:rPr>
          <w:rFonts w:hint="eastAsia" w:ascii="方正仿宋_GBK" w:hAnsi="方正仿宋_GBK" w:eastAsia="方正仿宋_GBK" w:cs="方正仿宋_GBK"/>
          <w:smallCaps/>
          <w:kern w:val="0"/>
          <w:sz w:val="32"/>
          <w:szCs w:val="32"/>
        </w:rPr>
        <w:t>任何单位和个人都有依法保护历史文化名城的义务，有权对破坏历史文化名城的行为进行劝阻、制止、检举和控告。</w:t>
      </w:r>
    </w:p>
    <w:p w14:paraId="61C69B1A">
      <w:pPr>
        <w:widowControl/>
        <w:snapToGrid w:val="0"/>
        <w:spacing w:line="560" w:lineRule="exact"/>
        <w:ind w:firstLine="640" w:firstLineChars="200"/>
        <w:jc w:val="left"/>
        <w:rPr>
          <w:rFonts w:ascii="方正黑体_GBK" w:eastAsia="方正黑体_GBK" w:cs="宋体"/>
          <w:smallCaps/>
          <w:kern w:val="0"/>
          <w:sz w:val="32"/>
          <w:szCs w:val="32"/>
        </w:rPr>
      </w:pPr>
      <w:r>
        <w:rPr>
          <w:rFonts w:hint="eastAsia" w:ascii="方正仿宋_GBK" w:hAnsi="方正仿宋_GBK" w:eastAsia="方正仿宋_GBK" w:cs="方正仿宋_GBK"/>
          <w:smallCaps/>
          <w:kern w:val="0"/>
          <w:sz w:val="32"/>
          <w:szCs w:val="32"/>
        </w:rPr>
        <w:t>对历史文化名城保护做出贡献的单位或者个人，市、县（区）人民政府应当按照有关规定给予表彰和奖励。</w:t>
      </w:r>
    </w:p>
    <w:p w14:paraId="1346C296">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第十条</w:t>
      </w:r>
      <w:r>
        <w:rPr>
          <w:rFonts w:hint="eastAsia" w:ascii="方正黑体_GBK" w:eastAsia="方正黑体_GBK" w:cs="宋体"/>
          <w:smallCaps/>
          <w:kern w:val="0"/>
          <w:sz w:val="32"/>
          <w:szCs w:val="32"/>
        </w:rPr>
        <w:t>【教育与科技】</w:t>
      </w:r>
      <w:r>
        <w:rPr>
          <w:rFonts w:hint="eastAsia" w:ascii="方正仿宋_GBK" w:hAnsi="方正仿宋_GBK" w:eastAsia="方正仿宋_GBK" w:cs="方正仿宋_GBK"/>
          <w:smallCaps/>
          <w:kern w:val="0"/>
          <w:sz w:val="32"/>
          <w:szCs w:val="32"/>
        </w:rPr>
        <w:t>加强历史文化宣传教育，将历史文化名城保护知识纳入学校教育和社会宣传体系，增强全民保护意识。</w:t>
      </w:r>
    </w:p>
    <w:p w14:paraId="7DE31B60">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鼓励推广新技术、新材料在历史文化名城保护修缮中的应用，提升保护科学化水平。</w:t>
      </w:r>
    </w:p>
    <w:p w14:paraId="78C5A37A">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p>
    <w:p w14:paraId="064523FC">
      <w:pPr>
        <w:widowControl/>
        <w:snapToGrid w:val="0"/>
        <w:spacing w:line="560" w:lineRule="exact"/>
        <w:jc w:val="center"/>
        <w:rPr>
          <w:rFonts w:ascii="方正黑体_GBK" w:eastAsia="方正黑体_GBK" w:cs="宋体"/>
          <w:smallCaps/>
          <w:kern w:val="0"/>
          <w:sz w:val="32"/>
          <w:szCs w:val="32"/>
        </w:rPr>
      </w:pPr>
      <w:r>
        <w:rPr>
          <w:rFonts w:hint="eastAsia" w:ascii="方正黑体_GBK" w:eastAsia="方正黑体_GBK" w:cs="宋体"/>
          <w:smallCaps/>
          <w:kern w:val="0"/>
          <w:sz w:val="32"/>
          <w:szCs w:val="32"/>
        </w:rPr>
        <w:t xml:space="preserve">第二章  保护规划与保护名录  </w:t>
      </w:r>
    </w:p>
    <w:p w14:paraId="57A96204">
      <w:pPr>
        <w:widowControl/>
        <w:snapToGrid w:val="0"/>
        <w:spacing w:line="560" w:lineRule="exact"/>
        <w:jc w:val="left"/>
        <w:rPr>
          <w:rFonts w:ascii="方正仿宋_GBK" w:hAnsi="方正仿宋_GBK" w:eastAsia="方正仿宋_GBK" w:cs="方正仿宋_GBK"/>
          <w:smallCaps/>
          <w:kern w:val="0"/>
          <w:sz w:val="32"/>
          <w:szCs w:val="32"/>
        </w:rPr>
      </w:pPr>
    </w:p>
    <w:p w14:paraId="44B59AD3">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第十一条</w:t>
      </w:r>
      <w:r>
        <w:rPr>
          <w:rFonts w:hint="eastAsia" w:ascii="方正黑体_GBK" w:eastAsia="方正黑体_GBK" w:cs="宋体"/>
          <w:smallCaps/>
          <w:kern w:val="0"/>
          <w:sz w:val="32"/>
          <w:szCs w:val="32"/>
        </w:rPr>
        <w:t>【保护对象】</w:t>
      </w:r>
      <w:r>
        <w:rPr>
          <w:rFonts w:hint="eastAsia" w:ascii="方正仿宋_GBK" w:hAnsi="方正仿宋_GBK" w:eastAsia="方正仿宋_GBK" w:cs="方正仿宋_GBK"/>
          <w:smallCaps/>
          <w:kern w:val="0"/>
          <w:sz w:val="32"/>
          <w:szCs w:val="32"/>
        </w:rPr>
        <w:t>淮安市历史文化名城的保护范围涵盖本市全部行政区域，主要包括：</w:t>
      </w:r>
    </w:p>
    <w:p w14:paraId="69D98A42">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（一）历史城区；</w:t>
      </w:r>
    </w:p>
    <w:p w14:paraId="73615AA1">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（二）历史文化街区和历史地段；</w:t>
      </w:r>
    </w:p>
    <w:p w14:paraId="4461AB84">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（三）大运河淮安段世界文化遗产；</w:t>
      </w:r>
    </w:p>
    <w:p w14:paraId="1F861865">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（四）地下文物埋藏区；</w:t>
      </w:r>
    </w:p>
    <w:p w14:paraId="29B74B54">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（五）古树名木；</w:t>
      </w:r>
    </w:p>
    <w:p w14:paraId="3A066312">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（六）历史文化名镇；</w:t>
      </w:r>
    </w:p>
    <w:p w14:paraId="42531712">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（七）历史文化名村；</w:t>
      </w:r>
    </w:p>
    <w:p w14:paraId="1C9967C0">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（八）传统村落；</w:t>
      </w:r>
    </w:p>
    <w:p w14:paraId="2625AC82">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（九）工业遗产、农业文化遗产、灌溉工程遗产、地名文化遗产；</w:t>
      </w:r>
    </w:p>
    <w:p w14:paraId="69602E51">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（十）非物质文化遗产；</w:t>
      </w:r>
    </w:p>
    <w:p w14:paraId="61EBD54F">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（十一）历史建筑；</w:t>
      </w:r>
    </w:p>
    <w:p w14:paraId="24698BFC">
      <w:pPr>
        <w:widowControl/>
        <w:snapToGrid w:val="0"/>
        <w:spacing w:line="560" w:lineRule="exact"/>
        <w:ind w:firstLine="640" w:firstLineChars="200"/>
        <w:jc w:val="left"/>
        <w:rPr>
          <w:rFonts w:hint="eastAsia"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（十二）其他具有保护价值且需要保护的对象。</w:t>
      </w:r>
    </w:p>
    <w:p w14:paraId="6AA7F863">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中国大运河（淮安段）世界遗产保护以及前款规定的保护对象涉及的文物、古树名木、非物质文化遗产保护，法律、法规已有规定的，从其规定。</w:t>
      </w:r>
    </w:p>
    <w:p w14:paraId="496F67CD">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第十二条</w:t>
      </w:r>
      <w:r>
        <w:rPr>
          <w:rFonts w:hint="eastAsia" w:ascii="方正黑体_GBK" w:eastAsia="方正黑体_GBK" w:cs="宋体"/>
          <w:smallCaps/>
          <w:kern w:val="0"/>
          <w:sz w:val="32"/>
          <w:szCs w:val="32"/>
        </w:rPr>
        <w:t>【规划引领】</w:t>
      </w:r>
      <w:r>
        <w:rPr>
          <w:rFonts w:hint="eastAsia" w:ascii="方正仿宋_GBK" w:hAnsi="方正仿宋_GBK" w:eastAsia="方正仿宋_GBK" w:cs="方正仿宋_GBK"/>
          <w:smallCaps/>
          <w:kern w:val="0"/>
          <w:sz w:val="32"/>
          <w:szCs w:val="32"/>
        </w:rPr>
        <w:t>市人民政府依法组织历史文化名城保护规划的编制、报批、公布、实施、监督等工作。</w:t>
      </w:r>
    </w:p>
    <w:p w14:paraId="350C5873">
      <w:pPr>
        <w:widowControl/>
        <w:snapToGrid w:val="0"/>
        <w:spacing w:line="560" w:lineRule="exact"/>
        <w:ind w:firstLine="640" w:firstLineChars="200"/>
        <w:jc w:val="left"/>
        <w:rPr>
          <w:rFonts w:ascii="方正黑体_GBK" w:eastAsia="方正黑体_GBK" w:cs="宋体"/>
          <w:smallCaps/>
          <w:kern w:val="0"/>
          <w:sz w:val="32"/>
          <w:szCs w:val="32"/>
        </w:rPr>
      </w:pPr>
      <w:r>
        <w:rPr>
          <w:rFonts w:hint="eastAsia" w:ascii="方正仿宋_GBK" w:hAnsi="方正仿宋_GBK" w:eastAsia="方正仿宋_GBK" w:cs="方正仿宋_GBK"/>
          <w:smallCaps/>
          <w:kern w:val="0"/>
          <w:sz w:val="32"/>
          <w:szCs w:val="32"/>
        </w:rPr>
        <w:t>保护规划需明确总体目标、保护范围、空间格局、功能分区及保护措施，并与国土空间规划、大运河文化带建设等相衔接。</w:t>
      </w:r>
    </w:p>
    <w:p w14:paraId="320CC5AD">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第十三条</w:t>
      </w:r>
      <w:r>
        <w:rPr>
          <w:rFonts w:hint="eastAsia" w:ascii="方正黑体_GBK" w:eastAsia="方正黑体_GBK" w:cs="宋体"/>
          <w:smallCaps/>
          <w:kern w:val="0"/>
          <w:sz w:val="32"/>
          <w:szCs w:val="32"/>
        </w:rPr>
        <w:t>【专项规划】</w:t>
      </w:r>
      <w:bookmarkStart w:id="4" w:name="OLE_LINK24"/>
      <w:bookmarkStart w:id="5" w:name="OLE_LINK25"/>
      <w:r>
        <w:rPr>
          <w:rFonts w:hint="eastAsia" w:ascii="方正仿宋_GBK" w:hAnsi="方正仿宋_GBK" w:eastAsia="方正仿宋_GBK" w:cs="方正仿宋_GBK"/>
          <w:smallCaps/>
          <w:kern w:val="0"/>
          <w:sz w:val="32"/>
          <w:szCs w:val="32"/>
        </w:rPr>
        <w:t>历史文化街区、历史地段等保护对象应按照相关要求编制专项保护规划。</w:t>
      </w:r>
    </w:p>
    <w:bookmarkEnd w:id="4"/>
    <w:bookmarkEnd w:id="5"/>
    <w:p w14:paraId="2299900A">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涉及旅游、环境保护、交通运输、市政、防灾消防、水利、园林绿化等专项规划，应当与历史文化名城保护规划相衔接。</w:t>
      </w:r>
    </w:p>
    <w:p w14:paraId="5E8A03DA">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第十四条</w:t>
      </w:r>
      <w:r>
        <w:rPr>
          <w:rFonts w:hint="eastAsia" w:ascii="方正黑体_GBK" w:eastAsia="方正黑体_GBK" w:cs="宋体"/>
          <w:smallCaps/>
          <w:kern w:val="0"/>
          <w:sz w:val="32"/>
          <w:szCs w:val="32"/>
        </w:rPr>
        <w:t>【征求意见】</w:t>
      </w:r>
      <w:r>
        <w:rPr>
          <w:rFonts w:hint="eastAsia" w:ascii="方正仿宋_GBK" w:hAnsi="方正仿宋_GBK" w:eastAsia="方正仿宋_GBK" w:cs="方正仿宋_GBK"/>
          <w:smallCaps/>
          <w:kern w:val="0"/>
          <w:sz w:val="32"/>
          <w:szCs w:val="32"/>
        </w:rPr>
        <w:t>保护规划报送审批前，应当广泛征求有关部门、专家和公众的意见，进行评估论证，并且予以公示。公示时间不应少于三十日。必要时，还可以举行听证。</w:t>
      </w:r>
    </w:p>
    <w:p w14:paraId="02017407">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第十五条【公布与备案】</w:t>
      </w:r>
      <w:r>
        <w:rPr>
          <w:rFonts w:hint="eastAsia" w:ascii="方正仿宋_GBK" w:hAnsi="方正仿宋_GBK" w:eastAsia="方正仿宋_GBK" w:cs="方正仿宋_GBK"/>
          <w:smallCaps/>
          <w:kern w:val="0"/>
          <w:sz w:val="32"/>
          <w:szCs w:val="32"/>
        </w:rPr>
        <w:t>依法批准的保护规划，应当及时在政府网站或者本市主要新闻媒体上公布。</w:t>
      </w:r>
    </w:p>
    <w:p w14:paraId="34FE898B">
      <w:pPr>
        <w:widowControl/>
        <w:snapToGrid w:val="0"/>
        <w:spacing w:line="560" w:lineRule="exact"/>
        <w:ind w:firstLine="640" w:firstLineChars="200"/>
        <w:jc w:val="left"/>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保护规划公布时间应当自批准之日起不少于三十日，并报省住房和城乡建设等部门备案。</w:t>
      </w:r>
    </w:p>
    <w:p w14:paraId="739976CF">
      <w:pPr>
        <w:ind w:firstLine="640" w:firstLineChars="200"/>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第十六条</w:t>
      </w:r>
      <w:r>
        <w:rPr>
          <w:rFonts w:hint="eastAsia" w:ascii="方正黑体_GBK" w:eastAsia="方正黑体_GBK" w:cs="宋体"/>
          <w:smallCaps/>
          <w:kern w:val="0"/>
          <w:sz w:val="32"/>
          <w:szCs w:val="32"/>
        </w:rPr>
        <w:t>【保护规划调整】</w:t>
      </w:r>
      <w:r>
        <w:rPr>
          <w:rFonts w:hint="eastAsia" w:ascii="方正仿宋_GBK" w:hAnsi="方正仿宋_GBK" w:eastAsia="方正仿宋_GBK" w:cs="方正仿宋_GBK"/>
          <w:smallCaps/>
          <w:kern w:val="0"/>
          <w:sz w:val="32"/>
          <w:szCs w:val="32"/>
        </w:rPr>
        <w:t>经依法批准的保护对象的保护规划不得擅自修改；确需修改的，组织编制机关应当向原审批机关提出申请，经批准后，应当按照原审批程序报送审批和备案。</w:t>
      </w:r>
    </w:p>
    <w:p w14:paraId="25C00090">
      <w:pPr>
        <w:ind w:firstLine="640" w:firstLineChars="200"/>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第十七条</w:t>
      </w:r>
      <w:r>
        <w:rPr>
          <w:rFonts w:hint="eastAsia" w:ascii="方正黑体_GBK" w:eastAsia="方正黑体_GBK" w:cs="宋体"/>
          <w:smallCaps/>
          <w:kern w:val="0"/>
          <w:sz w:val="32"/>
          <w:szCs w:val="32"/>
        </w:rPr>
        <w:t>【保护名录的编制】</w:t>
      </w:r>
      <w:r>
        <w:rPr>
          <w:rFonts w:hint="eastAsia" w:ascii="方正仿宋_GBK" w:hAnsi="方正仿宋_GBK" w:eastAsia="方正仿宋_GBK" w:cs="方正仿宋_GBK"/>
          <w:smallCaps/>
          <w:kern w:val="0"/>
          <w:sz w:val="32"/>
          <w:szCs w:val="32"/>
        </w:rPr>
        <w:t>淮安市历史文化名城保护实行保护名录制度。</w:t>
      </w:r>
    </w:p>
    <w:p w14:paraId="10760D5B">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经国家、省、市人民政府批准公布的保护对象，直接列入保护名录。</w:t>
      </w:r>
    </w:p>
    <w:p w14:paraId="5B9E816A">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任何单位和个人均有权提出将具有保护价值的对象纳入保护名录的建议。</w:t>
      </w:r>
    </w:p>
    <w:p w14:paraId="14448C5B">
      <w:pPr>
        <w:ind w:firstLine="640" w:firstLineChars="200"/>
        <w:rPr>
          <w:rFonts w:ascii="方正黑体_GBK" w:eastAsia="方正黑体_GBK" w:cs="宋体"/>
          <w:smallCaps/>
          <w:kern w:val="0"/>
          <w:sz w:val="32"/>
          <w:szCs w:val="32"/>
        </w:rPr>
      </w:pPr>
      <w:r>
        <w:rPr>
          <w:rFonts w:hint="eastAsia" w:ascii="方正仿宋_GBK" w:hAnsi="方正仿宋_GBK" w:eastAsia="方正仿宋_GBK" w:cs="方正仿宋_GBK"/>
          <w:smallCaps/>
          <w:kern w:val="0"/>
          <w:sz w:val="32"/>
          <w:szCs w:val="32"/>
        </w:rPr>
        <w:t>保护名录应当分类编制，依法调整，经专家咨询委员会论证并向社会公示后，由市人民政府批准公布。</w:t>
      </w:r>
    </w:p>
    <w:p w14:paraId="4C34413C">
      <w:pPr>
        <w:ind w:firstLine="640" w:firstLineChars="200"/>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第十八条</w:t>
      </w:r>
      <w:r>
        <w:rPr>
          <w:rFonts w:hint="eastAsia" w:ascii="方正黑体_GBK" w:eastAsia="方正黑体_GBK" w:cs="宋体"/>
          <w:smallCaps/>
          <w:kern w:val="0"/>
          <w:sz w:val="32"/>
          <w:szCs w:val="32"/>
        </w:rPr>
        <w:t>【保护名录的信息】</w:t>
      </w:r>
      <w:bookmarkStart w:id="6" w:name="OLE_LINK17"/>
      <w:bookmarkStart w:id="7" w:name="OLE_LINK16"/>
      <w:r>
        <w:rPr>
          <w:rFonts w:hint="eastAsia" w:ascii="方正仿宋_GBK" w:hAnsi="方正仿宋_GBK" w:eastAsia="方正仿宋_GBK" w:cs="方正仿宋_GBK"/>
          <w:smallCaps/>
          <w:kern w:val="0"/>
          <w:sz w:val="32"/>
          <w:szCs w:val="32"/>
        </w:rPr>
        <w:t>市住房和城乡建设主管部门</w:t>
      </w:r>
      <w:bookmarkEnd w:id="6"/>
      <w:bookmarkEnd w:id="7"/>
      <w:r>
        <w:rPr>
          <w:rFonts w:hint="eastAsia" w:ascii="方正仿宋_GBK" w:hAnsi="方正仿宋_GBK" w:eastAsia="方正仿宋_GBK" w:cs="方正仿宋_GBK"/>
          <w:smallCaps/>
          <w:kern w:val="0"/>
          <w:sz w:val="32"/>
          <w:szCs w:val="32"/>
        </w:rPr>
        <w:t>、市文化和旅游主管部门、市自然资源和规划主管部门、民政、水利、农业农村、工业和信息化等主管部门按照各自职责，负责收集相关保护对象的完整信息。</w:t>
      </w:r>
    </w:p>
    <w:p w14:paraId="0983BC57">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保护名录应当载明保护对象的名称、区位、形成时间和历史价值、文化价值、艺术价值、科学价值等内容，并向社会公布。</w:t>
      </w:r>
    </w:p>
    <w:p w14:paraId="080D3180">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市、县（区）人民政府应当建立历史文化名城保护名录档案。保护名录与档案应当纳入历史文化保护信息管理和查询系统。任何单位和个人都有权依法查询保护名录与档案。</w:t>
      </w:r>
    </w:p>
    <w:p w14:paraId="6FDE801C">
      <w:pPr>
        <w:ind w:firstLine="640" w:firstLineChars="200"/>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第十九条</w:t>
      </w:r>
      <w:r>
        <w:rPr>
          <w:rFonts w:hint="eastAsia" w:ascii="方正黑体_GBK" w:eastAsia="方正黑体_GBK" w:cs="宋体"/>
          <w:smallCaps/>
          <w:kern w:val="0"/>
          <w:sz w:val="32"/>
          <w:szCs w:val="32"/>
        </w:rPr>
        <w:t>【保护名录的调整更新】</w:t>
      </w:r>
      <w:bookmarkStart w:id="8" w:name="OLE_LINK31"/>
      <w:bookmarkStart w:id="9" w:name="OLE_LINK30"/>
      <w:r>
        <w:rPr>
          <w:rFonts w:hint="eastAsia" w:ascii="方正仿宋_GBK" w:hAnsi="方正仿宋_GBK" w:eastAsia="方正仿宋_GBK" w:cs="方正仿宋_GBK"/>
          <w:smallCaps/>
          <w:kern w:val="0"/>
          <w:sz w:val="32"/>
          <w:szCs w:val="32"/>
        </w:rPr>
        <w:t>市住房和城乡建设主管部门、文物主管部门应会同自然资源和规划行政主管部门定期开展历史文化资源普查，动态更新保护名录。</w:t>
      </w:r>
      <w:bookmarkEnd w:id="8"/>
      <w:bookmarkEnd w:id="9"/>
    </w:p>
    <w:p w14:paraId="5CB9A65B">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调整保护名录，经专家论证后，由历史文化名城保护主管部门审查，向社会公示，并报市人民政府批准后公布。</w:t>
      </w:r>
    </w:p>
    <w:p w14:paraId="0B745261">
      <w:pPr>
        <w:ind w:firstLine="640" w:firstLineChars="200"/>
        <w:rPr>
          <w:rFonts w:ascii="方正仿宋_GBK" w:hAnsi="方正仿宋_GBK" w:eastAsia="方正仿宋_GBK" w:cs="方正仿宋_GBK"/>
          <w:smallCaps/>
          <w:kern w:val="0"/>
          <w:sz w:val="32"/>
          <w:szCs w:val="32"/>
        </w:rPr>
      </w:pPr>
    </w:p>
    <w:p w14:paraId="4E353CD6">
      <w:pPr>
        <w:widowControl/>
        <w:numPr>
          <w:ilvl w:val="0"/>
          <w:numId w:val="1"/>
        </w:numPr>
        <w:snapToGrid w:val="0"/>
        <w:spacing w:line="560" w:lineRule="exact"/>
        <w:jc w:val="center"/>
        <w:rPr>
          <w:rFonts w:hint="eastAsia" w:ascii="方正黑体_GBK" w:eastAsia="方正黑体_GBK" w:cs="宋体"/>
          <w:smallCaps/>
          <w:kern w:val="0"/>
          <w:sz w:val="32"/>
          <w:szCs w:val="32"/>
        </w:rPr>
      </w:pPr>
      <w:r>
        <w:rPr>
          <w:rFonts w:hint="eastAsia" w:ascii="方正黑体_GBK" w:eastAsia="方正黑体_GBK" w:cs="宋体"/>
          <w:smallCaps/>
          <w:kern w:val="0"/>
          <w:sz w:val="32"/>
          <w:szCs w:val="32"/>
        </w:rPr>
        <w:t xml:space="preserve"> 保护措施 </w:t>
      </w:r>
    </w:p>
    <w:p w14:paraId="29EB5F8B">
      <w:pPr>
        <w:ind w:firstLine="640" w:firstLineChars="200"/>
        <w:rPr>
          <w:rFonts w:hint="eastAsia" w:ascii="方正黑体_GBK" w:hAnsi="方正黑体_GBK" w:eastAsia="方正黑体_GBK" w:cs="方正黑体_GBK"/>
          <w:sz w:val="32"/>
          <w:szCs w:val="32"/>
        </w:rPr>
      </w:pPr>
    </w:p>
    <w:p w14:paraId="726B057A">
      <w:pPr>
        <w:ind w:firstLine="640" w:firstLineChars="200"/>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第二十条</w:t>
      </w:r>
      <w:r>
        <w:rPr>
          <w:rFonts w:hint="eastAsia" w:ascii="方正黑体_GBK" w:eastAsia="方正黑体_GBK" w:cs="宋体"/>
          <w:smallCaps/>
          <w:kern w:val="0"/>
          <w:sz w:val="32"/>
          <w:szCs w:val="32"/>
        </w:rPr>
        <w:t>【保护责任人】</w:t>
      </w:r>
      <w:r>
        <w:rPr>
          <w:rFonts w:hint="eastAsia" w:ascii="方正仿宋_GBK" w:hAnsi="方正仿宋_GBK" w:eastAsia="方正仿宋_GBK" w:cs="方正仿宋_GBK"/>
          <w:smallCaps/>
          <w:kern w:val="0"/>
          <w:sz w:val="32"/>
          <w:szCs w:val="32"/>
        </w:rPr>
        <w:t>淮安市历史文化名城保护实行保护责任人制度。</w:t>
      </w:r>
    </w:p>
    <w:p w14:paraId="2A56C37D">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保护责任人按照下列规定确定：</w:t>
      </w:r>
    </w:p>
    <w:p w14:paraId="2983BE7B">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（一）淮安历史城区的保护责任人为所在区淮安区人民政府；</w:t>
      </w:r>
    </w:p>
    <w:p w14:paraId="4895DEB1">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（二）历史文化街区和历史地段的保护责任人为所在地的街道办事处人民政府；</w:t>
      </w:r>
    </w:p>
    <w:p w14:paraId="4618CD0A">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（三）历史建筑的所有权人为保护责任人，所有权人下落不明或者权属不明的，使用人为保护责任人；</w:t>
      </w:r>
    </w:p>
    <w:p w14:paraId="41D37FAC">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（四）传统民居的保护责任人为所有权人，所有权人下落不明或者权属不清的，由实际使用人或者管理人承担保护责任。所有权人可以与实际使用人或者管理人约定保护责任，但不得以此为由免除各自的责任；</w:t>
      </w:r>
    </w:p>
    <w:p w14:paraId="05D1088B">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（五）文物、古树名木等保护对象单独设立保护管理单位的，该单位为保护责任人；</w:t>
      </w:r>
    </w:p>
    <w:p w14:paraId="3264A932">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（六）保护对象跨辖区的，由共同上一级人民政府指定保护责任人；</w:t>
      </w:r>
    </w:p>
    <w:p w14:paraId="494703D0">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（七）无法确定保护责任人的，由市、区人民政府指定。无所有权人、使用权人、代管人的，区政府为保护责任人。</w:t>
      </w:r>
    </w:p>
    <w:p w14:paraId="4E17D925">
      <w:pPr>
        <w:ind w:firstLine="640" w:firstLineChars="200"/>
        <w:rPr>
          <w:rFonts w:ascii="方正黑体_GBK" w:eastAsia="方正黑体_GBK" w:cs="宋体"/>
          <w:smallCaps/>
          <w:kern w:val="0"/>
          <w:sz w:val="32"/>
          <w:szCs w:val="32"/>
        </w:rPr>
      </w:pPr>
      <w:r>
        <w:rPr>
          <w:rFonts w:hint="eastAsia" w:ascii="方正黑体_GBK" w:hAnsi="方正黑体_GBK" w:eastAsia="方正黑体_GBK" w:cs="方正黑体_GBK"/>
          <w:sz w:val="32"/>
          <w:szCs w:val="32"/>
        </w:rPr>
        <w:t>第二十一条</w:t>
      </w:r>
      <w:r>
        <w:rPr>
          <w:rFonts w:hint="eastAsia" w:ascii="方正黑体_GBK" w:eastAsia="方正黑体_GBK" w:cs="宋体"/>
          <w:smallCaps/>
          <w:kern w:val="0"/>
          <w:sz w:val="32"/>
          <w:szCs w:val="32"/>
        </w:rPr>
        <w:t>【整体性保护】</w:t>
      </w:r>
      <w:r>
        <w:rPr>
          <w:rFonts w:hint="eastAsia" w:ascii="方正仿宋_GBK" w:hAnsi="方正仿宋_GBK" w:eastAsia="方正仿宋_GBK" w:cs="方正仿宋_GBK"/>
          <w:smallCaps/>
          <w:kern w:val="0"/>
          <w:sz w:val="32"/>
          <w:szCs w:val="32"/>
        </w:rPr>
        <w:t>淮安市历史文化名城采取系统性保护策略，注重实施整体保护格局。保护和展示历史风貌以及周边传统建筑布局、街巷格局、空间肌理和生态景观，注重保护相互依存的自然景观和人文环境。</w:t>
      </w:r>
    </w:p>
    <w:p w14:paraId="039F3322">
      <w:pPr>
        <w:ind w:firstLine="640" w:firstLineChars="200"/>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第二十二条</w:t>
      </w:r>
      <w:r>
        <w:rPr>
          <w:rFonts w:hint="eastAsia" w:ascii="方正黑体_GBK" w:eastAsia="方正黑体_GBK" w:cs="宋体"/>
          <w:smallCaps/>
          <w:kern w:val="0"/>
          <w:sz w:val="32"/>
          <w:szCs w:val="32"/>
        </w:rPr>
        <w:t>【空间格局保护】</w:t>
      </w:r>
      <w:r>
        <w:rPr>
          <w:rFonts w:hint="eastAsia" w:ascii="方正仿宋_GBK" w:hAnsi="方正仿宋_GBK" w:eastAsia="方正仿宋_GBK" w:cs="方正仿宋_GBK"/>
          <w:smallCaps/>
          <w:kern w:val="0"/>
          <w:sz w:val="32"/>
          <w:szCs w:val="32"/>
        </w:rPr>
        <w:t>淮安市历史文化名城实施“三核、两轴；四区、多点”的空间结构方式进行保护。“三核”保护即淮安古城、清江浦城、清口枢纽历史文化保护核；“两轴”保护即大运河、淮河-黄河故道历史文化保护轴；“四区”保护即淮安区、清江浦区、淮阴区、洪泽区历史文化分区；“多点”即大运河、淮河-黄河故道沿线众多历史城镇聚落。</w:t>
      </w:r>
    </w:p>
    <w:p w14:paraId="17C9BEFE">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对淮安市的历史城区、历史文化街区的保护方案应当严格按照保护规划的要求进行，延续传统格局和历史风貌。</w:t>
      </w:r>
    </w:p>
    <w:p w14:paraId="27D55B15">
      <w:pPr>
        <w:ind w:firstLine="640" w:firstLineChars="200"/>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第二十三条</w:t>
      </w:r>
      <w:r>
        <w:rPr>
          <w:rFonts w:hint="eastAsia" w:ascii="方正黑体_GBK" w:eastAsia="方正黑体_GBK" w:cs="宋体"/>
          <w:smallCaps/>
          <w:kern w:val="0"/>
          <w:sz w:val="32"/>
          <w:szCs w:val="32"/>
        </w:rPr>
        <w:t>【历史建筑的保护】</w:t>
      </w:r>
      <w:r>
        <w:rPr>
          <w:rFonts w:hint="eastAsia" w:ascii="方正仿宋_GBK" w:hAnsi="方正仿宋_GBK" w:eastAsia="方正仿宋_GBK" w:cs="方正仿宋_GBK"/>
          <w:smallCaps/>
          <w:kern w:val="0"/>
          <w:sz w:val="32"/>
          <w:szCs w:val="32"/>
        </w:rPr>
        <w:t>市住房和城乡建设主管部门应完善淮安</w:t>
      </w:r>
      <w:r>
        <w:rPr>
          <w:rFonts w:hint="eastAsia" w:ascii="方正仿宋_GBK" w:hAnsi="方正仿宋_GBK" w:eastAsia="方正仿宋_GBK" w:cs="方正仿宋_GBK"/>
          <w:smallCaps/>
          <w:kern w:val="0"/>
          <w:sz w:val="32"/>
          <w:szCs w:val="32"/>
          <w:lang w:eastAsia="zh-CN"/>
        </w:rPr>
        <w:t>市</w:t>
      </w:r>
      <w:r>
        <w:rPr>
          <w:rFonts w:hint="eastAsia" w:ascii="方正仿宋_GBK" w:hAnsi="方正仿宋_GBK" w:eastAsia="方正仿宋_GBK" w:cs="方正仿宋_GBK"/>
          <w:smallCaps/>
          <w:kern w:val="0"/>
          <w:sz w:val="32"/>
          <w:szCs w:val="32"/>
        </w:rPr>
        <w:t>的历史建筑保护利用标准规范，提出具有地方特色的历史建筑分级、分类的保护管理与合理利用措施。</w:t>
      </w:r>
    </w:p>
    <w:p w14:paraId="3DE46973">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对历史建筑进行外部修缮装饰、添加设施以及改变历史建筑的结构或者使用性质的，应当经市、县（区）人民政府自然资源和规划部门会同同级文物部门批准，并依照有关法律、法规的规定办理相关手续。</w:t>
      </w:r>
    </w:p>
    <w:p w14:paraId="30088983">
      <w:pPr>
        <w:ind w:firstLine="640" w:firstLineChars="200"/>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第二十四条</w:t>
      </w:r>
      <w:r>
        <w:rPr>
          <w:rFonts w:hint="eastAsia" w:ascii="方正黑体_GBK" w:eastAsia="方正黑体_GBK" w:cs="宋体"/>
          <w:smallCaps/>
          <w:kern w:val="0"/>
          <w:sz w:val="32"/>
          <w:szCs w:val="32"/>
        </w:rPr>
        <w:t>【基础设施改善】</w:t>
      </w:r>
      <w:r>
        <w:rPr>
          <w:rFonts w:hint="eastAsia" w:ascii="方正仿宋_GBK" w:hAnsi="方正仿宋_GBK" w:eastAsia="方正仿宋_GBK" w:cs="方正仿宋_GBK"/>
          <w:smallCaps/>
          <w:kern w:val="0"/>
          <w:sz w:val="32"/>
          <w:szCs w:val="32"/>
        </w:rPr>
        <w:t>历史文化名城保护主管部门应当采取下列措施，完善城市基础和公共服务设施：</w:t>
      </w:r>
    </w:p>
    <w:p w14:paraId="2A36548B">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（一）健全城市地下管网，建设通信、供水、供电、供气、供热、消防和污水处理等设施；</w:t>
      </w:r>
    </w:p>
    <w:p w14:paraId="11B50CCB">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（二）配套完善教育、医疗、养老、社区服务等公共服务设施；</w:t>
      </w:r>
    </w:p>
    <w:p w14:paraId="5C16F3B5">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（三）配套建设公共绿地、庭院绿化，改善居住环境；</w:t>
      </w:r>
    </w:p>
    <w:p w14:paraId="211E126C">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（四）其他有关的城市基础和公共服务设施。</w:t>
      </w:r>
    </w:p>
    <w:p w14:paraId="77188C16">
      <w:pPr>
        <w:ind w:firstLine="640" w:firstLineChars="200"/>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第二十五条</w:t>
      </w:r>
      <w:r>
        <w:rPr>
          <w:rFonts w:hint="eastAsia" w:ascii="方正黑体_GBK" w:eastAsia="方正黑体_GBK" w:cs="宋体"/>
          <w:smallCaps/>
          <w:kern w:val="0"/>
          <w:sz w:val="32"/>
          <w:szCs w:val="32"/>
        </w:rPr>
        <w:t>【建设活动规定】</w:t>
      </w:r>
      <w:r>
        <w:rPr>
          <w:rFonts w:hint="eastAsia" w:ascii="方正仿宋_GBK" w:hAnsi="方正仿宋_GBK" w:eastAsia="方正仿宋_GBK" w:cs="方正仿宋_GBK"/>
          <w:smallCaps/>
          <w:kern w:val="0"/>
          <w:sz w:val="32"/>
          <w:szCs w:val="32"/>
        </w:rPr>
        <w:t>在淮安市历史文化名城保护内从事建设活动，应当符合规划要求，并对建设活动开展影响评价，不得大拆大建、拆真建假，不得对传统格局和历史风貌构成破坏性影响。</w:t>
      </w:r>
    </w:p>
    <w:p w14:paraId="1C9CBFEE">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实施新建、扩建、改建的，应当在高度、体量、外观形象、色彩、材料、工艺等方面与历史风貌相协调。</w:t>
      </w:r>
    </w:p>
    <w:p w14:paraId="269019A5">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在历史文化名城保护范围内建（构）筑物、道路、管线、亮化和其他设施需要新建、改建、修缮、维护的，建设单位或者个人依法办理相关手续前，应当征求同级文物部门意见。</w:t>
      </w:r>
    </w:p>
    <w:p w14:paraId="051C897D">
      <w:pPr>
        <w:ind w:firstLine="640" w:firstLineChars="200"/>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第二十六条</w:t>
      </w:r>
      <w:r>
        <w:rPr>
          <w:rFonts w:hint="eastAsia" w:ascii="方正黑体_GBK" w:eastAsia="方正黑体_GBK" w:cs="宋体"/>
          <w:smallCaps/>
          <w:kern w:val="0"/>
          <w:sz w:val="32"/>
          <w:szCs w:val="32"/>
        </w:rPr>
        <w:t>【设置保护标志】</w:t>
      </w:r>
      <w:r>
        <w:rPr>
          <w:rFonts w:hint="eastAsia" w:ascii="方正仿宋_GBK" w:hAnsi="方正仿宋_GBK" w:eastAsia="方正仿宋_GBK" w:cs="方正仿宋_GBK"/>
          <w:smallCaps/>
          <w:kern w:val="0"/>
          <w:sz w:val="32"/>
          <w:szCs w:val="32"/>
        </w:rPr>
        <w:t>纳入保护名录的保护对象应当设置保护标志。保护标志应当在纳入保护名录后六个月内设置完毕。</w:t>
      </w:r>
    </w:p>
    <w:p w14:paraId="40AFB454">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保护标志应当载明保护对象的名称、建成时间、文化信息等内容。保护标志的设置应当符合相关法律、法规的规定和相关国际组织规范的要求，并与淮安市历史文化名城传统风貌协调一致。</w:t>
      </w:r>
    </w:p>
    <w:p w14:paraId="20945A3D">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历史城区已消失的重要古水系、古建筑等，应当按照保护要求，在原址或者附近设置展示相关历史信息的标识。</w:t>
      </w:r>
    </w:p>
    <w:p w14:paraId="0E4829F8">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保护标志由历史文化名城保护主管部门统一样式，县（区）人民政府组织设置。</w:t>
      </w:r>
    </w:p>
    <w:p w14:paraId="5696464D">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任何单位和个人不得擅自设置、移动、遮挡、涂改或者损毁保护标志。</w:t>
      </w:r>
    </w:p>
    <w:p w14:paraId="5D2F8026">
      <w:pPr>
        <w:ind w:firstLine="640" w:firstLineChars="200"/>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第二十七条</w:t>
      </w:r>
      <w:r>
        <w:rPr>
          <w:rFonts w:hint="eastAsia" w:ascii="方正黑体_GBK" w:eastAsia="方正黑体_GBK" w:cs="宋体"/>
          <w:smallCaps/>
          <w:kern w:val="0"/>
          <w:sz w:val="32"/>
          <w:szCs w:val="32"/>
        </w:rPr>
        <w:t>【多元筹措资金】</w:t>
      </w:r>
      <w:r>
        <w:rPr>
          <w:rFonts w:hint="eastAsia" w:ascii="方正仿宋_GBK" w:hAnsi="方正仿宋_GBK" w:eastAsia="方正仿宋_GBK" w:cs="方正仿宋_GBK"/>
          <w:smallCaps/>
          <w:kern w:val="0"/>
          <w:sz w:val="32"/>
          <w:szCs w:val="32"/>
        </w:rPr>
        <w:t>建立历史文化名城保护资金多渠道筹集机制。通过下列渠道筹集资金，用于本条例规定的保护对象的普查认定、保护修缮、抢险，以及相关的环境整治、基础设施建设、学术研究和规划设计、教育培训、考古、保护利用等工作：</w:t>
      </w:r>
    </w:p>
    <w:p w14:paraId="6BFA71E6">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（一）市、县（区）级人民政府财政预算安排的保护资金；</w:t>
      </w:r>
    </w:p>
    <w:p w14:paraId="37F63F28">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（二）社会捐赠；</w:t>
      </w:r>
    </w:p>
    <w:p w14:paraId="42B59434">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（三）历史文化名城所涉及的国有建筑物出租收益；</w:t>
      </w:r>
    </w:p>
    <w:p w14:paraId="089D02E0">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（四）其他依法筹集的资金。</w:t>
      </w:r>
    </w:p>
    <w:p w14:paraId="51097597">
      <w:pPr>
        <w:ind w:firstLine="640" w:firstLineChars="200"/>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第二十八条</w:t>
      </w:r>
      <w:r>
        <w:rPr>
          <w:rFonts w:hint="eastAsia" w:ascii="方正黑体_GBK" w:eastAsia="方正黑体_GBK" w:cs="宋体"/>
          <w:smallCaps/>
          <w:kern w:val="0"/>
          <w:sz w:val="32"/>
          <w:szCs w:val="32"/>
        </w:rPr>
        <w:t>【禁止行为】</w:t>
      </w:r>
      <w:r>
        <w:rPr>
          <w:rFonts w:hint="eastAsia" w:ascii="方正仿宋_GBK" w:hAnsi="方正仿宋_GBK" w:eastAsia="方正仿宋_GBK" w:cs="方正仿宋_GBK"/>
          <w:smallCaps/>
          <w:kern w:val="0"/>
          <w:sz w:val="32"/>
          <w:szCs w:val="32"/>
        </w:rPr>
        <w:t>历史文化名城保护范围内禁止下列行为：</w:t>
      </w:r>
    </w:p>
    <w:p w14:paraId="1F39F695">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（一）损坏或者擅自拆除不可移动文物、历史建筑；</w:t>
      </w:r>
    </w:p>
    <w:p w14:paraId="4D2E8828">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（二）破坏或者擅自占用古井、古牌坊、古石刻、古水利工程、古城墙及有关遗址、遗迹；</w:t>
      </w:r>
    </w:p>
    <w:p w14:paraId="51595A70">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（三）破坏或者擅自占用工业遗存；</w:t>
      </w:r>
    </w:p>
    <w:p w14:paraId="3C7886E0">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（四）擅自挖掘、拓宽、裁弯取直街巷、道路，擅自下挖及开掘地下空间，擅自升高建筑物空间、占用公共空间；</w:t>
      </w:r>
    </w:p>
    <w:p w14:paraId="352276C7">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（五）在不可移动文物、历史建筑、古树名木上涂污、刻划或者擅自移动、拆除其保护标志；</w:t>
      </w:r>
    </w:p>
    <w:p w14:paraId="760A822B">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（六）擅自砍伐、迁移古树名木；</w:t>
      </w:r>
    </w:p>
    <w:p w14:paraId="2E108185">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（七）在非指定地点倾倒垃圾、粪便等废弃物，随意排放生活污水和生产废水；</w:t>
      </w:r>
    </w:p>
    <w:p w14:paraId="31A4B44B">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（八）擅自砍伐、拆除、采砂、取土等造成历史环境要素破坏的；</w:t>
      </w:r>
    </w:p>
    <w:p w14:paraId="52E196BA">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（九）法律、法规规定的其他禁止性行为。</w:t>
      </w:r>
    </w:p>
    <w:p w14:paraId="5925CF50">
      <w:pPr>
        <w:widowControl/>
        <w:snapToGrid w:val="0"/>
        <w:spacing w:line="560" w:lineRule="exact"/>
        <w:jc w:val="center"/>
        <w:rPr>
          <w:rFonts w:ascii="方正黑体_GBK" w:eastAsia="方正黑体_GBK" w:cs="宋体"/>
          <w:smallCaps/>
          <w:kern w:val="0"/>
          <w:sz w:val="32"/>
          <w:szCs w:val="32"/>
        </w:rPr>
      </w:pPr>
    </w:p>
    <w:p w14:paraId="0E830B64">
      <w:pPr>
        <w:widowControl/>
        <w:snapToGrid w:val="0"/>
        <w:spacing w:line="560" w:lineRule="exact"/>
        <w:jc w:val="center"/>
        <w:rPr>
          <w:rFonts w:ascii="方正黑体_GBK" w:eastAsia="方正黑体_GBK" w:cs="宋体"/>
          <w:smallCaps/>
          <w:kern w:val="0"/>
          <w:sz w:val="32"/>
          <w:szCs w:val="32"/>
        </w:rPr>
      </w:pPr>
      <w:r>
        <w:rPr>
          <w:rFonts w:hint="eastAsia" w:ascii="方正黑体_GBK" w:eastAsia="方正黑体_GBK" w:cs="宋体"/>
          <w:smallCaps/>
          <w:kern w:val="0"/>
          <w:sz w:val="32"/>
          <w:szCs w:val="32"/>
        </w:rPr>
        <w:t xml:space="preserve">第四章  传承利用 </w:t>
      </w:r>
    </w:p>
    <w:p w14:paraId="289F808B">
      <w:pPr>
        <w:ind w:firstLine="640" w:firstLineChars="200"/>
        <w:rPr>
          <w:rFonts w:ascii="方正黑体_GBK" w:hAnsi="方正黑体_GBK" w:eastAsia="方正黑体_GBK" w:cs="方正黑体_GBK"/>
          <w:sz w:val="32"/>
          <w:szCs w:val="32"/>
        </w:rPr>
      </w:pPr>
    </w:p>
    <w:p w14:paraId="58E16BFD">
      <w:pPr>
        <w:ind w:firstLine="640" w:firstLineChars="200"/>
        <w:rPr>
          <w:rFonts w:ascii="方正黑体_GBK" w:eastAsia="方正黑体_GBK" w:cs="宋体"/>
          <w:smallCaps/>
          <w:kern w:val="0"/>
          <w:sz w:val="32"/>
          <w:szCs w:val="32"/>
        </w:rPr>
      </w:pPr>
      <w:r>
        <w:rPr>
          <w:rFonts w:hint="eastAsia" w:ascii="方正黑体_GBK" w:hAnsi="方正黑体_GBK" w:eastAsia="方正黑体_GBK" w:cs="方正黑体_GBK"/>
          <w:sz w:val="32"/>
          <w:szCs w:val="32"/>
        </w:rPr>
        <w:t>第二十九条</w:t>
      </w:r>
      <w:r>
        <w:rPr>
          <w:rFonts w:hint="eastAsia" w:ascii="方正黑体_GBK" w:eastAsia="方正黑体_GBK" w:cs="宋体"/>
          <w:smallCaps/>
          <w:kern w:val="0"/>
          <w:sz w:val="32"/>
          <w:szCs w:val="32"/>
        </w:rPr>
        <w:t>【实施方案】</w:t>
      </w:r>
      <w:r>
        <w:rPr>
          <w:rFonts w:hint="eastAsia" w:ascii="方正仿宋_GBK" w:hAnsi="方正仿宋_GBK" w:eastAsia="方正仿宋_GBK" w:cs="方正仿宋_GBK"/>
          <w:smallCaps/>
          <w:kern w:val="0"/>
          <w:sz w:val="32"/>
          <w:szCs w:val="32"/>
        </w:rPr>
        <w:t>市、县（区）人民政府应当加强对淮安历史文化名城保护要素的科学利用，充分展示地方历史文化特色，传承历史文化价值，制定详细的传承利用实施方案。</w:t>
      </w:r>
    </w:p>
    <w:p w14:paraId="26DB1635">
      <w:pPr>
        <w:ind w:firstLine="640" w:firstLineChars="200"/>
        <w:rPr>
          <w:rFonts w:ascii="方正黑体_GBK" w:eastAsia="方正黑体_GBK" w:cs="宋体"/>
          <w:smallCaps/>
          <w:kern w:val="0"/>
          <w:sz w:val="32"/>
          <w:szCs w:val="32"/>
        </w:rPr>
      </w:pPr>
      <w:r>
        <w:rPr>
          <w:rFonts w:hint="eastAsia" w:ascii="方正黑体_GBK" w:hAnsi="方正黑体_GBK" w:eastAsia="方正黑体_GBK" w:cs="方正黑体_GBK"/>
          <w:sz w:val="32"/>
          <w:szCs w:val="32"/>
        </w:rPr>
        <w:t>第三十条</w:t>
      </w:r>
      <w:r>
        <w:rPr>
          <w:rFonts w:hint="eastAsia" w:ascii="方正黑体_GBK" w:eastAsia="方正黑体_GBK" w:cs="宋体"/>
          <w:smallCaps/>
          <w:kern w:val="0"/>
          <w:sz w:val="32"/>
          <w:szCs w:val="32"/>
        </w:rPr>
        <w:t>【传承价值】</w:t>
      </w:r>
      <w:r>
        <w:rPr>
          <w:rFonts w:hint="eastAsia" w:ascii="方正仿宋_GBK" w:hAnsi="方正仿宋_GBK" w:eastAsia="方正仿宋_GBK" w:cs="方正仿宋_GBK"/>
          <w:smallCaps/>
          <w:kern w:val="0"/>
          <w:sz w:val="32"/>
          <w:szCs w:val="32"/>
        </w:rPr>
        <w:t>市、县（区）人民政府应发挥历史文化名城的历史科学艺术价值，挖掘和阐释社会文化价值、精神内涵和情感价值，与现代生活相结合，弘扬历史文化，彰显时代精神。</w:t>
      </w:r>
    </w:p>
    <w:p w14:paraId="45667E36">
      <w:pPr>
        <w:ind w:firstLine="640" w:firstLineChars="200"/>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第三十一条</w:t>
      </w:r>
      <w:r>
        <w:rPr>
          <w:rFonts w:hint="eastAsia" w:ascii="方正黑体_GBK" w:eastAsia="方正黑体_GBK" w:cs="宋体"/>
          <w:smallCaps/>
          <w:kern w:val="0"/>
          <w:sz w:val="32"/>
          <w:szCs w:val="32"/>
        </w:rPr>
        <w:t>【城市更新】</w:t>
      </w:r>
      <w:r>
        <w:rPr>
          <w:rFonts w:hint="eastAsia" w:ascii="方正仿宋_GBK" w:hAnsi="方正仿宋_GBK" w:eastAsia="方正仿宋_GBK" w:cs="方正仿宋_GBK"/>
          <w:smallCaps/>
          <w:kern w:val="0"/>
          <w:sz w:val="32"/>
          <w:szCs w:val="32"/>
        </w:rPr>
        <w:t>市、县（区）人民政府应当综合运用城市更新、乡村振兴等政策措施，推进城区内道路交通、河湖水系和生态环境的综合治理，改善保护范围内的基础设施、公共服务设施和整体风貌。</w:t>
      </w:r>
    </w:p>
    <w:p w14:paraId="542A360D">
      <w:pPr>
        <w:ind w:firstLine="640" w:firstLineChars="200"/>
        <w:rPr>
          <w:rFonts w:ascii="方正黑体_GBK" w:eastAsia="方正黑体_GBK" w:cs="宋体"/>
          <w:smallCaps/>
          <w:kern w:val="0"/>
          <w:sz w:val="32"/>
          <w:szCs w:val="32"/>
        </w:rPr>
      </w:pPr>
      <w:r>
        <w:rPr>
          <w:rFonts w:hint="eastAsia" w:ascii="方正黑体_GBK" w:hAnsi="方正黑体_GBK" w:eastAsia="方正黑体_GBK" w:cs="方正黑体_GBK"/>
          <w:sz w:val="32"/>
          <w:szCs w:val="32"/>
        </w:rPr>
        <w:t>第三十二条</w:t>
      </w:r>
      <w:r>
        <w:rPr>
          <w:rFonts w:hint="eastAsia" w:ascii="方正黑体_GBK" w:eastAsia="方正黑体_GBK" w:cs="宋体"/>
          <w:smallCaps/>
          <w:kern w:val="0"/>
          <w:sz w:val="32"/>
          <w:szCs w:val="32"/>
        </w:rPr>
        <w:t>【产业引导】</w:t>
      </w:r>
      <w:bookmarkStart w:id="10" w:name="OLE_LINK19"/>
      <w:bookmarkStart w:id="11" w:name="OLE_LINK18"/>
      <w:r>
        <w:rPr>
          <w:rFonts w:hint="eastAsia" w:ascii="方正仿宋_GBK" w:hAnsi="方正仿宋_GBK" w:eastAsia="方正仿宋_GBK" w:cs="方正仿宋_GBK"/>
          <w:smallCaps/>
          <w:kern w:val="0"/>
          <w:sz w:val="32"/>
          <w:szCs w:val="32"/>
        </w:rPr>
        <w:t>市、县（区）</w:t>
      </w:r>
      <w:bookmarkEnd w:id="10"/>
      <w:bookmarkEnd w:id="11"/>
      <w:r>
        <w:rPr>
          <w:rFonts w:hint="eastAsia" w:ascii="方正仿宋_GBK" w:hAnsi="方正仿宋_GBK" w:eastAsia="方正仿宋_GBK" w:cs="方正仿宋_GBK"/>
          <w:smallCaps/>
          <w:kern w:val="0"/>
          <w:sz w:val="32"/>
          <w:szCs w:val="32"/>
        </w:rPr>
        <w:t>人民政府应当制定产业引导政策，及时调整业态布局方案，扶持老字号、非物质文化遗产代表项目，培育文化创新产业，引入具有淮安特色的多元化业态，促进生产、生活、生态全面深度融合。</w:t>
      </w:r>
    </w:p>
    <w:p w14:paraId="3A37387D">
      <w:pPr>
        <w:ind w:firstLine="640" w:firstLineChars="200"/>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第三十三条</w:t>
      </w:r>
      <w:r>
        <w:rPr>
          <w:rFonts w:hint="eastAsia" w:ascii="方正黑体_GBK" w:eastAsia="方正黑体_GBK" w:cs="宋体"/>
          <w:smallCaps/>
          <w:kern w:val="0"/>
          <w:sz w:val="32"/>
          <w:szCs w:val="32"/>
        </w:rPr>
        <w:t>【空间的传承利用】</w:t>
      </w:r>
      <w:r>
        <w:rPr>
          <w:rFonts w:hint="eastAsia" w:ascii="方正仿宋_GBK" w:hAnsi="方正仿宋_GBK" w:eastAsia="方正仿宋_GBK" w:cs="方正仿宋_GBK"/>
          <w:smallCaps/>
          <w:kern w:val="0"/>
          <w:sz w:val="32"/>
          <w:szCs w:val="32"/>
        </w:rPr>
        <w:t>鼓励小规模、渐进式有机更新和微改造等方式促进历史文化的传承利用，改善整体风貌，增加公共开放空间，补足配套基础设施和公共服务设施，完善城市功能，提升城市活力。</w:t>
      </w:r>
    </w:p>
    <w:p w14:paraId="49FB2F24">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对于历史建筑可以结合其自身特点进行保护性利用。在不改变历史建筑主体结构、外观以及不危害历史建筑及其附属设施安全的前提下，提升历史建筑多样化的传承价值。</w:t>
      </w:r>
    </w:p>
    <w:p w14:paraId="3BFF8EFD">
      <w:pPr>
        <w:ind w:firstLine="640" w:firstLineChars="200"/>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第三十四条</w:t>
      </w:r>
      <w:r>
        <w:rPr>
          <w:rFonts w:hint="eastAsia" w:ascii="方正黑体_GBK" w:eastAsia="方正黑体_GBK" w:cs="宋体"/>
          <w:smallCaps/>
          <w:kern w:val="0"/>
          <w:sz w:val="32"/>
          <w:szCs w:val="32"/>
        </w:rPr>
        <w:t>【经营行为的传承利用】</w:t>
      </w:r>
      <w:r>
        <w:rPr>
          <w:rFonts w:hint="eastAsia" w:ascii="方正仿宋_GBK" w:hAnsi="方正仿宋_GBK" w:eastAsia="方正仿宋_GBK" w:cs="方正仿宋_GBK"/>
          <w:smallCaps/>
          <w:kern w:val="0"/>
          <w:sz w:val="32"/>
          <w:szCs w:val="32"/>
        </w:rPr>
        <w:t>市、县（区）人民政府应当通过政策引导、资金扶助等方式，鼓励社会力量和资本参与历史文化名城的保护利用，展示原住居民传统生活形态和民俗文化，依法从事与保护相适应的经营活动。</w:t>
      </w:r>
    </w:p>
    <w:p w14:paraId="0BD7EACB">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保护范围内的经营活动应当符合城区的传统风貌，其商业布局等应当与街巷肌理、传统风貌、环境氛围相协调，在指定地点和范围内从事经营活动。</w:t>
      </w:r>
    </w:p>
    <w:p w14:paraId="4F14446A">
      <w:pPr>
        <w:ind w:firstLine="640" w:firstLineChars="200"/>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第三十五条</w:t>
      </w:r>
      <w:r>
        <w:rPr>
          <w:rFonts w:hint="eastAsia" w:ascii="方正黑体_GBK" w:eastAsia="方正黑体_GBK" w:cs="宋体"/>
          <w:smallCaps/>
          <w:kern w:val="0"/>
          <w:sz w:val="32"/>
          <w:szCs w:val="32"/>
        </w:rPr>
        <w:t>【保障原住居民生活】</w:t>
      </w:r>
      <w:r>
        <w:rPr>
          <w:rFonts w:hint="eastAsia" w:ascii="方正仿宋_GBK" w:hAnsi="方正仿宋_GBK" w:eastAsia="方正仿宋_GBK" w:cs="方正仿宋_GBK"/>
          <w:smallCaps/>
          <w:kern w:val="0"/>
          <w:sz w:val="32"/>
          <w:szCs w:val="32"/>
        </w:rPr>
        <w:t>尊重和保护原住居民的公序良俗。</w:t>
      </w:r>
    </w:p>
    <w:p w14:paraId="03C5A91F">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鼓励原住居民在历史城区居住，从事当地特色产业的生产经营等相关活动，促进历史文化以原有形态、生活方式延续传承。</w:t>
      </w:r>
    </w:p>
    <w:p w14:paraId="0944E2A8">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鼓励原住居民以房屋、资金入股等多种形式参与保护利用和开发建设，改善其生产生活条件，享受合理收益。</w:t>
      </w:r>
    </w:p>
    <w:p w14:paraId="53E5075C">
      <w:pPr>
        <w:ind w:firstLine="640" w:firstLineChars="200"/>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第三十六条</w:t>
      </w:r>
      <w:r>
        <w:rPr>
          <w:rFonts w:hint="eastAsia" w:ascii="方正黑体_GBK" w:eastAsia="方正黑体_GBK" w:cs="宋体"/>
          <w:smallCaps/>
          <w:kern w:val="0"/>
          <w:sz w:val="32"/>
          <w:szCs w:val="32"/>
        </w:rPr>
        <w:t>【非遗的传承利用】</w:t>
      </w:r>
      <w:r>
        <w:rPr>
          <w:rFonts w:hint="eastAsia" w:ascii="方正仿宋_GBK" w:hAnsi="方正仿宋_GBK" w:eastAsia="方正仿宋_GBK" w:cs="方正仿宋_GBK"/>
          <w:smallCaps/>
          <w:kern w:val="0"/>
          <w:sz w:val="32"/>
          <w:szCs w:val="32"/>
        </w:rPr>
        <w:t>市、县（区）人民政府应当积极促进非物质文化遗产的保护与传承。鼓励安排财政专项资金用于非物质文化遗产的普查、征集、研究、传播、宣传教育等工作。</w:t>
      </w:r>
    </w:p>
    <w:p w14:paraId="4F0CE070">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在全面传承利用的前提下，鼓励将非物质文化遗产转化为文创活动，引导文创产品的开发与应用。利用非物质文化遗产进行艺术创作、宣传出版、旅游开发等活动。</w:t>
      </w:r>
    </w:p>
    <w:p w14:paraId="16AEAC82">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非物质文化遗产的传承利用中应当尊重其传统形式和文化内涵，不得进行歪曲、贬损、滥用和过度开发。</w:t>
      </w:r>
    </w:p>
    <w:p w14:paraId="55FEEA83">
      <w:pPr>
        <w:ind w:firstLine="640" w:firstLineChars="200"/>
        <w:rPr>
          <w:rFonts w:ascii="方正黑体_GBK" w:eastAsia="方正黑体_GBK" w:cs="宋体"/>
          <w:smallCaps/>
          <w:kern w:val="0"/>
          <w:sz w:val="32"/>
          <w:szCs w:val="32"/>
        </w:rPr>
      </w:pPr>
      <w:r>
        <w:rPr>
          <w:rFonts w:hint="eastAsia" w:ascii="方正黑体_GBK" w:hAnsi="方正黑体_GBK" w:eastAsia="方正黑体_GBK" w:cs="方正黑体_GBK"/>
          <w:sz w:val="32"/>
          <w:szCs w:val="32"/>
        </w:rPr>
        <w:t>第三十七条</w:t>
      </w:r>
      <w:r>
        <w:rPr>
          <w:rFonts w:hint="eastAsia" w:ascii="方正黑体_GBK" w:eastAsia="方正黑体_GBK" w:cs="宋体"/>
          <w:smallCaps/>
          <w:kern w:val="0"/>
          <w:sz w:val="32"/>
          <w:szCs w:val="32"/>
        </w:rPr>
        <w:t>【数字化传承利用】</w:t>
      </w:r>
      <w:r>
        <w:rPr>
          <w:rFonts w:hint="eastAsia" w:ascii="方正仿宋_GBK" w:hAnsi="方正仿宋_GBK" w:eastAsia="方正仿宋_GBK" w:cs="方正仿宋_GBK"/>
          <w:smallCaps/>
          <w:kern w:val="0"/>
          <w:sz w:val="32"/>
          <w:szCs w:val="32"/>
        </w:rPr>
        <w:t>市、县（区）人民政府鼓励加强数字化信息系统建设，运用物联网、大数据、云计算、人工智能等现代信息技术，提升历史文化保护信息化管理水平，提升传承利用的效果。</w:t>
      </w:r>
    </w:p>
    <w:p w14:paraId="458E7E6A">
      <w:pPr>
        <w:ind w:firstLine="640" w:firstLineChars="200"/>
        <w:rPr>
          <w:rFonts w:ascii="方正黑体_GBK" w:eastAsia="方正黑体_GBK" w:cs="宋体"/>
          <w:smallCaps/>
          <w:kern w:val="0"/>
          <w:sz w:val="32"/>
          <w:szCs w:val="32"/>
        </w:rPr>
      </w:pPr>
    </w:p>
    <w:p w14:paraId="01C4D601">
      <w:pPr>
        <w:jc w:val="center"/>
        <w:rPr>
          <w:rFonts w:ascii="方正黑体_GBK" w:eastAsia="方正黑体_GBK" w:cs="宋体"/>
          <w:smallCaps/>
          <w:kern w:val="0"/>
          <w:sz w:val="32"/>
          <w:szCs w:val="32"/>
        </w:rPr>
      </w:pPr>
    </w:p>
    <w:p w14:paraId="166FCEEA">
      <w:pPr>
        <w:jc w:val="center"/>
        <w:rPr>
          <w:rFonts w:ascii="方正黑体_GBK" w:eastAsia="方正黑体_GBK" w:cs="宋体"/>
          <w:smallCaps/>
          <w:kern w:val="0"/>
          <w:sz w:val="32"/>
          <w:szCs w:val="32"/>
        </w:rPr>
      </w:pPr>
      <w:r>
        <w:rPr>
          <w:rFonts w:hint="eastAsia" w:ascii="方正黑体_GBK" w:eastAsia="方正黑体_GBK" w:cs="宋体"/>
          <w:smallCaps/>
          <w:kern w:val="0"/>
          <w:sz w:val="32"/>
          <w:szCs w:val="32"/>
        </w:rPr>
        <w:t>第五章 监督检查</w:t>
      </w:r>
    </w:p>
    <w:p w14:paraId="736F3EA9">
      <w:pPr>
        <w:rPr>
          <w:rFonts w:ascii="方正黑体_GBK" w:eastAsia="方正黑体_GBK" w:cs="宋体"/>
          <w:smallCaps/>
          <w:kern w:val="0"/>
          <w:sz w:val="32"/>
          <w:szCs w:val="32"/>
        </w:rPr>
      </w:pPr>
    </w:p>
    <w:p w14:paraId="6913AB2B">
      <w:pPr>
        <w:ind w:firstLine="640" w:firstLineChars="200"/>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第三十八条</w:t>
      </w:r>
      <w:r>
        <w:rPr>
          <w:rFonts w:hint="eastAsia" w:ascii="方正黑体_GBK" w:eastAsia="方正黑体_GBK" w:cs="宋体"/>
          <w:smallCaps/>
          <w:kern w:val="0"/>
          <w:sz w:val="32"/>
          <w:szCs w:val="32"/>
        </w:rPr>
        <w:t>【人大监督】</w:t>
      </w:r>
      <w:r>
        <w:rPr>
          <w:rFonts w:hint="eastAsia" w:ascii="方正仿宋_GBK" w:hAnsi="方正仿宋_GBK" w:eastAsia="方正仿宋_GBK" w:cs="方正仿宋_GBK"/>
          <w:smallCaps/>
          <w:kern w:val="0"/>
          <w:sz w:val="32"/>
          <w:szCs w:val="32"/>
        </w:rPr>
        <w:t>市人民政府应当定期组织有关行政主管部门和专家对本条例的贯彻和执行进行检查与评估，并向同级人民代表大会常务委员会报告。</w:t>
      </w:r>
    </w:p>
    <w:p w14:paraId="70C8FC16">
      <w:pPr>
        <w:ind w:firstLine="640" w:firstLineChars="200"/>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第三十九条</w:t>
      </w:r>
      <w:r>
        <w:rPr>
          <w:rFonts w:hint="eastAsia" w:ascii="方正黑体_GBK" w:eastAsia="方正黑体_GBK" w:cs="宋体"/>
          <w:smallCaps/>
          <w:kern w:val="0"/>
          <w:sz w:val="32"/>
          <w:szCs w:val="32"/>
        </w:rPr>
        <w:t>【政府监督】</w:t>
      </w:r>
      <w:r>
        <w:rPr>
          <w:rFonts w:hint="eastAsia" w:ascii="方正仿宋_GBK" w:hAnsi="方正仿宋_GBK" w:eastAsia="方正仿宋_GBK" w:cs="方正仿宋_GBK"/>
          <w:smallCaps/>
          <w:kern w:val="0"/>
          <w:sz w:val="32"/>
          <w:szCs w:val="32"/>
        </w:rPr>
        <w:t>市人民政府应当加强对县(区)人民政府、市有关行政主管部门的历史文化名城保护具体工作的监督检查，对工作中存在的问题及时进行处理。</w:t>
      </w:r>
    </w:p>
    <w:p w14:paraId="1254FC24">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市有关行政主管部门应当依照本条例规定和各自职责加强对历史文化名城保护工作的日常监督指导。</w:t>
      </w:r>
    </w:p>
    <w:p w14:paraId="326EB57A">
      <w:pPr>
        <w:ind w:firstLine="640" w:firstLineChars="200"/>
        <w:rPr>
          <w:rFonts w:ascii="方正仿宋_GBK" w:hAnsi="方正仿宋_GBK" w:eastAsia="方正仿宋_GBK" w:cs="方正仿宋_GBK"/>
          <w:smallCaps/>
          <w:kern w:val="0"/>
          <w:sz w:val="32"/>
          <w:szCs w:val="32"/>
        </w:rPr>
      </w:pPr>
      <w:r>
        <w:rPr>
          <w:rFonts w:hint="eastAsia" w:ascii="方正仿宋_GBK" w:hAnsi="方正仿宋_GBK" w:eastAsia="方正仿宋_GBK" w:cs="方正仿宋_GBK"/>
          <w:smallCaps/>
          <w:kern w:val="0"/>
          <w:sz w:val="32"/>
          <w:szCs w:val="32"/>
        </w:rPr>
        <w:t>县(区)人民政府应当加强对负有保护职责的所属部门进行监督检查，对其工作中存在的问题及时纠正、处理。</w:t>
      </w:r>
    </w:p>
    <w:p w14:paraId="528C0972">
      <w:pPr>
        <w:ind w:firstLine="640" w:firstLineChars="200"/>
        <w:rPr>
          <w:rFonts w:ascii="方正仿宋_GBK" w:hAnsi="方正仿宋_GBK" w:eastAsia="方正仿宋_GBK" w:cs="方正仿宋_GBK"/>
          <w:smallCaps/>
          <w:kern w:val="0"/>
          <w:sz w:val="32"/>
          <w:szCs w:val="32"/>
        </w:rPr>
      </w:pPr>
      <w:r>
        <w:rPr>
          <w:rFonts w:hint="eastAsia" w:ascii="方正黑体_GBK" w:hAnsi="方正黑体_GBK" w:eastAsia="方正黑体_GBK" w:cs="方正黑体_GBK"/>
          <w:sz w:val="32"/>
          <w:szCs w:val="32"/>
        </w:rPr>
        <w:t>第四十条</w:t>
      </w:r>
      <w:r>
        <w:rPr>
          <w:rFonts w:hint="eastAsia" w:ascii="方正黑体_GBK" w:eastAsia="方正黑体_GBK" w:cs="宋体"/>
          <w:smallCaps/>
          <w:kern w:val="0"/>
          <w:sz w:val="32"/>
          <w:szCs w:val="32"/>
        </w:rPr>
        <w:t>【数字化监测】</w:t>
      </w:r>
      <w:r>
        <w:rPr>
          <w:rFonts w:hint="eastAsia" w:ascii="方正仿宋_GBK" w:hAnsi="方正仿宋_GBK" w:eastAsia="方正仿宋_GBK" w:cs="方正仿宋_GBK"/>
          <w:smallCaps/>
          <w:kern w:val="0"/>
          <w:sz w:val="32"/>
          <w:szCs w:val="32"/>
        </w:rPr>
        <w:t>市、县（区）人民政府应当鼓励利用数字信息技术等手段加强对列入保护目录的各类保护对象的监测，及时发现、制止和处理破坏保护对象的违法行为。</w:t>
      </w:r>
    </w:p>
    <w:p w14:paraId="61521D0A">
      <w:pPr>
        <w:ind w:firstLine="640" w:firstLineChars="200"/>
        <w:rPr>
          <w:rFonts w:ascii="方正黑体_GBK" w:eastAsia="方正黑体_GBK" w:cs="宋体"/>
          <w:smallCaps/>
          <w:kern w:val="0"/>
          <w:sz w:val="32"/>
          <w:szCs w:val="32"/>
        </w:rPr>
      </w:pPr>
      <w:r>
        <w:rPr>
          <w:rFonts w:hint="eastAsia" w:ascii="方正黑体_GBK" w:hAnsi="方正黑体_GBK" w:eastAsia="方正黑体_GBK" w:cs="方正黑体_GBK"/>
          <w:sz w:val="32"/>
          <w:szCs w:val="32"/>
        </w:rPr>
        <w:t>第四十一条</w:t>
      </w:r>
      <w:r>
        <w:rPr>
          <w:rFonts w:hint="eastAsia" w:ascii="方正黑体_GBK" w:eastAsia="方正黑体_GBK" w:cs="宋体"/>
          <w:smallCaps/>
          <w:kern w:val="0"/>
          <w:sz w:val="32"/>
          <w:szCs w:val="32"/>
        </w:rPr>
        <w:t>【网格化管理】</w:t>
      </w:r>
      <w:r>
        <w:rPr>
          <w:rFonts w:hint="eastAsia" w:ascii="方正仿宋_GBK" w:hAnsi="方正仿宋_GBK" w:eastAsia="方正仿宋_GBK" w:cs="方正仿宋_GBK"/>
          <w:smallCaps/>
          <w:kern w:val="0"/>
          <w:sz w:val="32"/>
          <w:szCs w:val="32"/>
        </w:rPr>
        <w:t>县（区）人民政府应当结合社区治理，设置历史文化名城保护网格员，按照属地管理的原则，负责做好历史文化名城各类保护对象的日常巡查。历史文化名城保护网格员具体聘用、管理、职责、监督等制度由相关部门制定。</w:t>
      </w:r>
    </w:p>
    <w:p w14:paraId="185C3A0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方正黑体_GBK" w:hAnsi="方正黑体_GBK" w:eastAsia="方正黑体_GBK" w:cs="方正黑体_GBK"/>
          <w:sz w:val="32"/>
          <w:szCs w:val="32"/>
        </w:rPr>
      </w:pPr>
    </w:p>
    <w:p w14:paraId="4F3CA1E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黑体_GBK" w:eastAsia="方正黑体_GBK" w:cs="宋体"/>
          <w:smallCaps/>
          <w:kern w:val="0"/>
          <w:sz w:val="32"/>
          <w:szCs w:val="32"/>
        </w:rPr>
      </w:pPr>
      <w:r>
        <w:rPr>
          <w:rFonts w:hint="eastAsia" w:ascii="方正黑体_GBK" w:eastAsia="方正黑体_GBK" w:cs="宋体"/>
          <w:smallCaps/>
          <w:kern w:val="0"/>
          <w:sz w:val="32"/>
          <w:szCs w:val="32"/>
        </w:rPr>
        <w:t>第六章 法律责任</w:t>
      </w:r>
    </w:p>
    <w:p w14:paraId="2599B76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p>
    <w:p w14:paraId="721DA424">
      <w:pPr>
        <w:spacing w:line="560" w:lineRule="exact"/>
        <w:ind w:firstLine="640" w:firstLineChars="200"/>
        <w:rPr>
          <w:rFonts w:ascii="仿宋_GB2312" w:hAnsi="仿宋_GB2312" w:eastAsia="仿宋_GB2312" w:cs="仿宋_GB2312"/>
          <w:sz w:val="32"/>
          <w:szCs w:val="32"/>
        </w:rPr>
      </w:pPr>
      <w:bookmarkStart w:id="12" w:name="OLE_LINK39"/>
      <w:bookmarkStart w:id="13" w:name="OLE_LINK38"/>
      <w:r>
        <w:rPr>
          <w:rFonts w:hint="eastAsia" w:ascii="方正黑体_GBK" w:hAnsi="方正黑体_GBK" w:eastAsia="方正黑体_GBK" w:cs="方正黑体_GBK"/>
          <w:bCs/>
          <w:smallCaps/>
          <w:kern w:val="0"/>
          <w:sz w:val="32"/>
          <w:szCs w:val="32"/>
        </w:rPr>
        <w:t>第四十二条【转致条款】</w:t>
      </w:r>
      <w:r>
        <w:rPr>
          <w:rFonts w:hint="eastAsia" w:ascii="仿宋_GB2312" w:hAnsi="仿宋_GB2312" w:eastAsia="仿宋_GB2312" w:cs="仿宋_GB2312"/>
          <w:sz w:val="32"/>
          <w:szCs w:val="32"/>
        </w:rPr>
        <w:t>违反本条例规定，法律、法规已有处罚规定的，从其规定。</w:t>
      </w:r>
    </w:p>
    <w:bookmarkEnd w:id="12"/>
    <w:bookmarkEnd w:id="13"/>
    <w:p w14:paraId="624A3BC2">
      <w:pPr>
        <w:ind w:firstLine="640" w:firstLineChars="200"/>
        <w:rPr>
          <w:rFonts w:hint="eastAsia" w:ascii="方正仿宋_GBK" w:hAnsi="方正仿宋_GBK" w:eastAsia="方正仿宋_GBK" w:cs="方正仿宋_GBK"/>
          <w:smallCaps/>
          <w:kern w:val="0"/>
          <w:sz w:val="32"/>
          <w:szCs w:val="32"/>
        </w:rPr>
      </w:pPr>
      <w:bookmarkStart w:id="14" w:name="OLE_LINK43"/>
      <w:bookmarkStart w:id="15" w:name="OLE_LINK44"/>
      <w:r>
        <w:rPr>
          <w:rFonts w:hint="eastAsia" w:ascii="方正黑体_GBK" w:hAnsi="方正黑体_GBK" w:eastAsia="方正黑体_GBK" w:cs="方正黑体_GBK"/>
          <w:bCs/>
          <w:smallCaps/>
          <w:kern w:val="0"/>
          <w:sz w:val="32"/>
          <w:szCs w:val="32"/>
        </w:rPr>
        <w:t>第四十三条【违法建设责任】</w:t>
      </w:r>
      <w:r>
        <w:rPr>
          <w:rFonts w:hint="eastAsia" w:ascii="方正仿宋_GBK" w:hAnsi="方正仿宋_GBK" w:eastAsia="方正仿宋_GBK" w:cs="方正仿宋_GBK"/>
          <w:smallCaps/>
          <w:kern w:val="0"/>
          <w:sz w:val="32"/>
          <w:szCs w:val="32"/>
        </w:rPr>
        <w:t>违反本条例规定，市、县（区）人民政府及其有关主管部门的工作人员，不履行监督管理职责，发现违法行为不予查处或者有其他滥用职权、玩忽职守、徇私舞弊行为，构成犯罪的，依法追究刑事责任；尚不构成犯罪的，依法给予处分。</w:t>
      </w:r>
    </w:p>
    <w:bookmarkEnd w:id="14"/>
    <w:bookmarkEnd w:id="15"/>
    <w:p w14:paraId="7BE47059">
      <w:pPr>
        <w:ind w:firstLine="640" w:firstLineChars="200"/>
        <w:rPr>
          <w:rFonts w:ascii="方正仿宋_GBK" w:hAnsi="方正仿宋_GBK" w:eastAsia="方正仿宋_GBK" w:cs="方正仿宋_GBK"/>
          <w:smallCaps/>
          <w:kern w:val="0"/>
          <w:sz w:val="32"/>
          <w:szCs w:val="32"/>
        </w:rPr>
      </w:pPr>
      <w:bookmarkStart w:id="16" w:name="OLE_LINK48"/>
      <w:bookmarkStart w:id="17" w:name="OLE_LINK49"/>
      <w:r>
        <w:rPr>
          <w:rFonts w:hint="eastAsia" w:ascii="方正黑体_GBK" w:hAnsi="方正黑体_GBK" w:eastAsia="方正黑体_GBK" w:cs="方正黑体_GBK"/>
          <w:bCs/>
          <w:smallCaps/>
          <w:kern w:val="0"/>
          <w:sz w:val="32"/>
          <w:szCs w:val="32"/>
        </w:rPr>
        <w:t>第四十四条【保护责任人法律责任】</w:t>
      </w:r>
      <w:r>
        <w:rPr>
          <w:rFonts w:hint="eastAsia" w:ascii="方正仿宋_GBK" w:hAnsi="方正仿宋_GBK" w:eastAsia="方正仿宋_GBK" w:cs="方正仿宋_GBK"/>
          <w:smallCaps/>
          <w:kern w:val="0"/>
          <w:sz w:val="32"/>
          <w:szCs w:val="32"/>
        </w:rPr>
        <w:t>保护责任人和责任单位违反本条例规定，历史建筑所有权人、使用人未履行保护义务或无能力保护但未及时请求有关部门进行保护而造成有保护价值的对象毁损的，由</w:t>
      </w:r>
      <w:r>
        <w:rPr>
          <w:rFonts w:hint="eastAsia" w:ascii="方正仿宋_GBK" w:hAnsi="方正仿宋_GBK" w:eastAsia="方正仿宋_GBK" w:cs="方正仿宋_GBK"/>
          <w:smallCaps/>
          <w:kern w:val="0"/>
          <w:sz w:val="32"/>
          <w:szCs w:val="32"/>
          <w:lang w:eastAsia="zh-CN"/>
        </w:rPr>
        <w:t>相关</w:t>
      </w:r>
      <w:r>
        <w:rPr>
          <w:rFonts w:hint="eastAsia" w:ascii="方正仿宋_GBK" w:hAnsi="方正仿宋_GBK" w:eastAsia="方正仿宋_GBK" w:cs="方正仿宋_GBK"/>
          <w:smallCaps/>
          <w:kern w:val="0"/>
          <w:sz w:val="32"/>
          <w:szCs w:val="32"/>
        </w:rPr>
        <w:t>执法机关</w:t>
      </w:r>
      <w:r>
        <w:rPr>
          <w:rFonts w:hint="eastAsia" w:ascii="方正仿宋_GBK" w:hAnsi="方正仿宋_GBK" w:eastAsia="方正仿宋_GBK" w:cs="方正仿宋_GBK"/>
          <w:smallCaps/>
          <w:kern w:val="0"/>
          <w:sz w:val="32"/>
          <w:szCs w:val="32"/>
          <w:lang w:eastAsia="zh-CN"/>
        </w:rPr>
        <w:t>按照职责</w:t>
      </w:r>
      <w:r>
        <w:rPr>
          <w:rFonts w:hint="eastAsia" w:ascii="方正仿宋_GBK" w:hAnsi="方正仿宋_GBK" w:eastAsia="方正仿宋_GBK" w:cs="方正仿宋_GBK"/>
          <w:smallCaps/>
          <w:kern w:val="0"/>
          <w:sz w:val="32"/>
          <w:szCs w:val="32"/>
        </w:rPr>
        <w:t>责令限期恢复原状。</w:t>
      </w:r>
    </w:p>
    <w:bookmarkEnd w:id="16"/>
    <w:bookmarkEnd w:id="17"/>
    <w:p w14:paraId="395DEF6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方正黑体_GBK" w:eastAsia="方正黑体_GBK" w:cs="宋体"/>
          <w:smallCaps/>
          <w:kern w:val="0"/>
          <w:sz w:val="32"/>
          <w:szCs w:val="32"/>
        </w:rPr>
      </w:pPr>
    </w:p>
    <w:p w14:paraId="71010A36">
      <w:pPr>
        <w:keepNext w:val="0"/>
        <w:keepLines w:val="0"/>
        <w:pageBreakBefore w:val="0"/>
        <w:widowControl w:val="0"/>
        <w:numPr>
          <w:ilvl w:val="0"/>
          <w:numId w:val="2"/>
        </w:numPr>
        <w:kinsoku/>
        <w:wordWrap/>
        <w:overflowPunct/>
        <w:topLinePunct w:val="0"/>
        <w:autoSpaceDE/>
        <w:autoSpaceDN/>
        <w:bidi w:val="0"/>
        <w:adjustRightInd/>
        <w:snapToGrid/>
        <w:spacing w:line="560" w:lineRule="exact"/>
        <w:jc w:val="center"/>
        <w:textAlignment w:val="auto"/>
        <w:rPr>
          <w:rFonts w:ascii="方正黑体_GBK" w:eastAsia="方正黑体_GBK" w:cs="宋体"/>
          <w:smallCaps/>
          <w:kern w:val="0"/>
          <w:sz w:val="32"/>
          <w:szCs w:val="32"/>
        </w:rPr>
      </w:pPr>
      <w:r>
        <w:rPr>
          <w:rFonts w:hint="eastAsia" w:ascii="方正黑体_GBK" w:eastAsia="方正黑体_GBK" w:cs="宋体"/>
          <w:smallCaps/>
          <w:kern w:val="0"/>
          <w:sz w:val="32"/>
          <w:szCs w:val="32"/>
        </w:rPr>
        <w:t>附则</w:t>
      </w:r>
    </w:p>
    <w:p w14:paraId="670716FD">
      <w:pPr>
        <w:keepNext w:val="0"/>
        <w:keepLines w:val="0"/>
        <w:pageBreakBefore w:val="0"/>
        <w:widowControl w:val="0"/>
        <w:numPr>
          <w:numId w:val="0"/>
        </w:numPr>
        <w:kinsoku/>
        <w:wordWrap/>
        <w:overflowPunct/>
        <w:topLinePunct w:val="0"/>
        <w:autoSpaceDE/>
        <w:autoSpaceDN/>
        <w:bidi w:val="0"/>
        <w:adjustRightInd/>
        <w:snapToGrid/>
        <w:spacing w:line="560" w:lineRule="exact"/>
        <w:jc w:val="both"/>
        <w:textAlignment w:val="auto"/>
        <w:rPr>
          <w:rFonts w:ascii="方正黑体_GBK" w:eastAsia="方正黑体_GBK" w:cs="宋体"/>
          <w:smallCaps/>
          <w:kern w:val="0"/>
          <w:sz w:val="32"/>
          <w:szCs w:val="32"/>
        </w:rPr>
      </w:pPr>
    </w:p>
    <w:p w14:paraId="0C544464">
      <w:pPr>
        <w:pStyle w:val="2"/>
        <w:spacing w:line="590" w:lineRule="exact"/>
        <w:rPr>
          <w:rFonts w:ascii="Times New Roman" w:hAnsi="Times New Roman" w:eastAsia="仿宋"/>
          <w:sz w:val="32"/>
          <w:szCs w:val="40"/>
        </w:rPr>
      </w:pPr>
      <w:r>
        <w:rPr>
          <w:rFonts w:hint="eastAsia" w:ascii="方正黑体_GBK" w:hAnsi="方正黑体_GBK" w:eastAsia="方正黑体_GBK" w:cs="方正黑体_GBK"/>
          <w:sz w:val="32"/>
          <w:szCs w:val="32"/>
        </w:rPr>
        <w:t>第四十五条</w:t>
      </w:r>
      <w:r>
        <w:rPr>
          <w:rFonts w:hint="eastAsia" w:ascii="方正黑体_GBK" w:eastAsia="方正黑体_GBK" w:cs="宋体"/>
          <w:smallCaps/>
          <w:sz w:val="32"/>
          <w:szCs w:val="32"/>
        </w:rPr>
        <w:t>【施行时间】</w:t>
      </w:r>
      <w:r>
        <w:rPr>
          <w:rFonts w:hint="eastAsia" w:ascii="方正仿宋_GBK" w:hAnsi="方正仿宋_GBK" w:eastAsia="方正仿宋_GBK" w:cs="方正仿宋_GBK"/>
          <w:smallCaps/>
          <w:sz w:val="32"/>
          <w:szCs w:val="32"/>
        </w:rPr>
        <w:t>本条例自XX年XX月XX日起施行。</w:t>
      </w:r>
    </w:p>
    <w:p w14:paraId="1AE11572">
      <w:pPr>
        <w:ind w:firstLine="640" w:firstLineChars="200"/>
        <w:rPr>
          <w:rFonts w:ascii="方正黑体_GBK" w:eastAsia="方正黑体_GBK" w:cs="宋体"/>
          <w:smallCaps/>
          <w:kern w:val="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1D5775">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DFBA26">
                          <w:pPr>
                            <w:pStyle w:val="3"/>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15DFBA26">
                    <w:pPr>
                      <w:pStyle w:val="3"/>
                    </w:pPr>
                    <w:r>
                      <w:fldChar w:fldCharType="begin"/>
                    </w:r>
                    <w:r>
                      <w:instrText xml:space="preserve"> PAGE  \* MERGEFORMAT </w:instrText>
                    </w:r>
                    <w:r>
                      <w:fldChar w:fldCharType="separate"/>
                    </w:r>
                    <w:r>
                      <w:t>15</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926344"/>
    <w:multiLevelType w:val="singleLevel"/>
    <w:tmpl w:val="FC926344"/>
    <w:lvl w:ilvl="0" w:tentative="0">
      <w:start w:val="3"/>
      <w:numFmt w:val="chineseCounting"/>
      <w:suff w:val="space"/>
      <w:lvlText w:val="第%1章"/>
      <w:lvlJc w:val="left"/>
      <w:rPr>
        <w:rFonts w:hint="eastAsia"/>
      </w:rPr>
    </w:lvl>
  </w:abstractNum>
  <w:abstractNum w:abstractNumId="1">
    <w:nsid w:val="58F39374"/>
    <w:multiLevelType w:val="singleLevel"/>
    <w:tmpl w:val="58F39374"/>
    <w:lvl w:ilvl="0" w:tentative="0">
      <w:start w:val="7"/>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0108B4"/>
    <w:rsid w:val="000B6C53"/>
    <w:rsid w:val="000C1A6A"/>
    <w:rsid w:val="002B3723"/>
    <w:rsid w:val="00313492"/>
    <w:rsid w:val="0031350B"/>
    <w:rsid w:val="00415E2A"/>
    <w:rsid w:val="004D7566"/>
    <w:rsid w:val="00583796"/>
    <w:rsid w:val="00777ACA"/>
    <w:rsid w:val="009F3688"/>
    <w:rsid w:val="00A16FD4"/>
    <w:rsid w:val="00AA5CE0"/>
    <w:rsid w:val="00AB4878"/>
    <w:rsid w:val="00BD1E7D"/>
    <w:rsid w:val="00DD5B35"/>
    <w:rsid w:val="00EF78BE"/>
    <w:rsid w:val="00F6008F"/>
    <w:rsid w:val="00F75344"/>
    <w:rsid w:val="275551F9"/>
    <w:rsid w:val="2A8A2D28"/>
    <w:rsid w:val="31906FE9"/>
    <w:rsid w:val="41BD4633"/>
    <w:rsid w:val="4C0108B4"/>
    <w:rsid w:val="4C261585"/>
    <w:rsid w:val="59FF0400"/>
    <w:rsid w:val="5A86279E"/>
    <w:rsid w:val="5B833730"/>
    <w:rsid w:val="5FFC6879"/>
    <w:rsid w:val="637726F8"/>
    <w:rsid w:val="64A84AE8"/>
    <w:rsid w:val="69DE3483"/>
    <w:rsid w:val="73E32853"/>
    <w:rsid w:val="74082F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adjustRightInd w:val="0"/>
      <w:spacing w:line="360" w:lineRule="auto"/>
      <w:ind w:firstLine="420"/>
      <w:textAlignment w:val="baseline"/>
    </w:pPr>
    <w:rPr>
      <w:kern w:val="0"/>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6348</Words>
  <Characters>6351</Characters>
  <Lines>46</Lines>
  <Paragraphs>13</Paragraphs>
  <TotalTime>170</TotalTime>
  <ScaleCrop>false</ScaleCrop>
  <LinksUpToDate>false</LinksUpToDate>
  <CharactersWithSpaces>6384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2025-03-26T08:10:00Z</dcterms:created>
  <dc:creator>离岛晚风轻</dc:creator>
  <cp:lastModifiedBy>Administrator</cp:lastModifiedBy>
  <cp:lastPrinted>2025-04-01T01:47:03Z</cp:lastPrinted>
  <dcterms:modified xsi:type="dcterms:W3CDTF">2025-04-01T02:23:12Z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61B8E50A74994146817628C5E5F516C3_13</vt:lpwstr>
  </property>
  <property fmtid="{D5CDD505-2E9C-101B-9397-08002B2CF9AE}" pid="4" name="KSOTemplateDocerSaveRecord">
    <vt:lpwstr>eyJoZGlkIjoiOTc1MjllOGIwN2ExY2NlNWFiYWMyMjQzMmUxY2U0ODIifQ==</vt:lpwstr>
  </property>
</Properties>
</file>